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mc:Ignorable="w14 w15 w16se w16cid w16 w16cex w16sdtdh w16sdtfl w16du wp14">
  <w:body>
    <w:p w:rsidR="006D3AA0" w:rsidRDefault="00000000" w14:paraId="2CBDBD35" w14:textId="77777777">
      <w:pPr>
        <w:spacing w:after="40"/>
        <w:jc w:val="center"/>
      </w:pPr>
      <w:r>
        <w:rPr>
          <w:b/>
          <w:bCs/>
          <w:color w:val="1F3864"/>
          <w:sz w:val="30"/>
          <w:szCs w:val="30"/>
        </w:rPr>
        <w:t>Subsidy Savings, Higher Revenue and Borrowing</w:t>
      </w:r>
    </w:p>
    <w:p w:rsidRPr="00C909C9" w:rsidR="006D3AA0" w:rsidRDefault="00000000" w14:paraId="0610737F" w14:textId="77777777">
      <w:pPr>
        <w:spacing w:after="60"/>
        <w:jc w:val="center"/>
        <w:rPr>
          <w:i/>
          <w:iCs/>
        </w:rPr>
      </w:pPr>
      <w:r w:rsidRPr="00C909C9">
        <w:rPr>
          <w:i/>
          <w:iCs/>
          <w:color w:val="1F3864"/>
          <w:sz w:val="24"/>
          <w:szCs w:val="24"/>
        </w:rPr>
        <w:t>How the Money is Spent</w:t>
      </w:r>
    </w:p>
    <w:p w:rsidR="00C909C9" w:rsidRDefault="00C909C9" w14:paraId="7CE6C688" w14:textId="77777777">
      <w:pPr>
        <w:spacing w:after="200"/>
        <w:jc w:val="center"/>
        <w:rPr>
          <w:i/>
          <w:iCs/>
          <w:color w:val="595959"/>
          <w:sz w:val="16"/>
          <w:szCs w:val="16"/>
        </w:rPr>
      </w:pPr>
    </w:p>
    <w:p w:rsidR="006D3AA0" w:rsidRDefault="00000000" w14:paraId="402B8F6D" w14:textId="5DBED463">
      <w:pPr>
        <w:pBdr>
          <w:bottom w:val="single" w:color="auto" w:sz="6" w:space="1"/>
        </w:pBdr>
        <w:spacing w:after="200"/>
        <w:jc w:val="center"/>
        <w:rPr>
          <w:i/>
          <w:iCs/>
          <w:color w:val="595959"/>
          <w:sz w:val="16"/>
          <w:szCs w:val="16"/>
        </w:rPr>
      </w:pPr>
      <w:r>
        <w:rPr>
          <w:i/>
          <w:iCs/>
          <w:color w:val="595959"/>
          <w:sz w:val="16"/>
          <w:szCs w:val="16"/>
        </w:rPr>
        <w:t>Prepared by the Federal Ministry of Finance</w:t>
      </w:r>
      <w:r w:rsidR="00C909C9">
        <w:rPr>
          <w:i/>
          <w:iCs/>
          <w:color w:val="595959"/>
          <w:sz w:val="16"/>
          <w:szCs w:val="16"/>
        </w:rPr>
        <w:t xml:space="preserve"> -</w:t>
      </w:r>
      <w:r>
        <w:rPr>
          <w:i/>
          <w:iCs/>
          <w:color w:val="595959"/>
          <w:sz w:val="16"/>
          <w:szCs w:val="16"/>
        </w:rPr>
        <w:t xml:space="preserve"> August 2026</w:t>
      </w:r>
    </w:p>
    <w:p w:rsidR="004F1D2F" w:rsidRDefault="004F1D2F" w14:paraId="4A4A5742" w14:textId="77777777">
      <w:pPr>
        <w:pBdr>
          <w:bottom w:val="single" w:color="auto" w:sz="6" w:space="1"/>
        </w:pBdr>
        <w:spacing w:after="200"/>
        <w:jc w:val="center"/>
        <w:rPr>
          <w:i/>
          <w:iCs/>
          <w:color w:val="595959"/>
          <w:sz w:val="16"/>
          <w:szCs w:val="16"/>
        </w:rPr>
      </w:pPr>
    </w:p>
    <w:p w:rsidRPr="004F1D2F" w:rsidR="00C909C9" w:rsidP="1A373B2C" w:rsidRDefault="004F1D2F" w14:paraId="325335D5" w14:textId="14B373BD">
      <w:pPr>
        <w:pStyle w:val="Heading1"/>
        <w:spacing w:before="200" w:after="100"/>
        <w:jc w:val="center"/>
        <w:rPr>
          <w:color w:val="1F3864"/>
          <w:sz w:val="24"/>
          <w:szCs w:val="24"/>
          <w:lang w:val="en-US"/>
        </w:rPr>
      </w:pPr>
      <w:r w:rsidRPr="1A373B2C" w:rsidR="004F1D2F">
        <w:rPr>
          <w:color w:val="1F3864"/>
          <w:lang w:val="en-US"/>
        </w:rPr>
        <w:t xml:space="preserve">How the </w:t>
      </w:r>
      <w:r w:rsidRPr="1A373B2C" w:rsidR="004F1D2F">
        <w:rPr>
          <w:color w:val="1F3864"/>
          <w:lang w:val="en-US"/>
        </w:rPr>
        <w:t xml:space="preserve">resources </w:t>
      </w:r>
      <w:r w:rsidRPr="1A373B2C" w:rsidR="713D6158">
        <w:rPr>
          <w:color w:val="1F3864"/>
          <w:lang w:val="en-US"/>
        </w:rPr>
        <w:t>were</w:t>
      </w:r>
      <w:r w:rsidRPr="1A373B2C" w:rsidR="004F1D2F">
        <w:rPr>
          <w:color w:val="1F3864"/>
          <w:lang w:val="en-US"/>
        </w:rPr>
        <w:t xml:space="preserve"> generated</w:t>
      </w:r>
      <w:r w:rsidRPr="1A373B2C" w:rsidR="004F1D2F">
        <w:rPr>
          <w:color w:val="1F3864"/>
          <w:sz w:val="24"/>
          <w:szCs w:val="24"/>
          <w:lang w:val="en-US"/>
        </w:rPr>
        <w:t xml:space="preserve"> </w:t>
      </w:r>
    </w:p>
    <w:p w:rsidR="006D3AA0" w:rsidRDefault="00000000" w14:paraId="0497BE73" w14:textId="77777777">
      <w:pPr>
        <w:spacing w:after="150"/>
        <w:jc w:val="center"/>
      </w:pPr>
      <w:r>
        <w:rPr>
          <w:noProof/>
        </w:rPr>
        <w:drawing>
          <wp:inline distT="0" distB="0" distL="0" distR="0" wp14:anchorId="0431D59A" wp14:editId="6DFE1EF5">
            <wp:extent cx="2870200" cy="257448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301" cy="2591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7400" w:type="dxa"/>
        <w:jc w:val="lef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0"/>
        <w:gridCol w:w="3400"/>
      </w:tblGrid>
      <w:tr w:rsidR="006D3AA0" w:rsidTr="1A373B2C" w14:paraId="3993DD5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0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1F3864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6D3AA0" w:rsidRDefault="00000000" w14:paraId="4C720357" w14:textId="77777777">
            <w:r>
              <w:rPr>
                <w:b/>
                <w:bCs/>
                <w:color w:val="FFFFFF"/>
                <w:sz w:val="16"/>
                <w:szCs w:val="16"/>
              </w:rPr>
              <w:t>Government</w:t>
            </w:r>
          </w:p>
        </w:tc>
        <w:tc>
          <w:tcPr>
            <w:tcW w:w="34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1F3864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6D3AA0" w:rsidRDefault="00000000" w14:paraId="4CF6F7F9" w14:textId="77777777">
            <w:r>
              <w:rPr>
                <w:b/>
                <w:bCs/>
                <w:color w:val="FFFFFF"/>
                <w:sz w:val="16"/>
                <w:szCs w:val="16"/>
              </w:rPr>
              <w:t>₦ Billion</w:t>
            </w:r>
          </w:p>
        </w:tc>
      </w:tr>
      <w:tr w:rsidR="006D3AA0" w:rsidTr="1A373B2C" w14:paraId="313EE0AB" w14:textId="77777777">
        <w:tblPrEx>
          <w:tblCellMar>
            <w:top w:w="0" w:type="dxa"/>
            <w:bottom w:w="0" w:type="dxa"/>
          </w:tblCellMar>
        </w:tblPrEx>
        <w:trPr/>
        <w:tc>
          <w:tcPr>
            <w:tcW w:w="40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6D3AA0" w:rsidRDefault="00000000" w14:paraId="789FB3FD" w14:textId="77777777">
            <w:r>
              <w:rPr>
                <w:sz w:val="16"/>
                <w:szCs w:val="16"/>
              </w:rPr>
              <w:t>FG</w:t>
            </w:r>
          </w:p>
        </w:tc>
        <w:tc>
          <w:tcPr>
            <w:tcW w:w="34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6D3AA0" w:rsidRDefault="00000000" w14:paraId="21C8D923" w14:textId="77777777">
            <w:pPr>
              <w:jc w:val="right"/>
            </w:pPr>
            <w:r>
              <w:rPr>
                <w:sz w:val="16"/>
                <w:szCs w:val="16"/>
              </w:rPr>
              <w:t>5,426.07</w:t>
            </w:r>
          </w:p>
        </w:tc>
      </w:tr>
      <w:tr w:rsidR="006D3AA0" w:rsidTr="1A373B2C" w14:paraId="32C2EC80" w14:textId="77777777">
        <w:tblPrEx>
          <w:tblCellMar>
            <w:top w:w="0" w:type="dxa"/>
            <w:bottom w:w="0" w:type="dxa"/>
          </w:tblCellMar>
        </w:tblPrEx>
        <w:trPr/>
        <w:tc>
          <w:tcPr>
            <w:tcW w:w="40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6D3AA0" w:rsidRDefault="00000000" w14:paraId="543DC880" w14:textId="77777777">
            <w:r>
              <w:rPr>
                <w:sz w:val="16"/>
                <w:szCs w:val="16"/>
              </w:rPr>
              <w:t>States</w:t>
            </w:r>
          </w:p>
        </w:tc>
        <w:tc>
          <w:tcPr>
            <w:tcW w:w="34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6D3AA0" w:rsidRDefault="00000000" w14:paraId="6141C22C" w14:textId="77777777">
            <w:pPr>
              <w:jc w:val="right"/>
            </w:pPr>
            <w:r>
              <w:rPr>
                <w:sz w:val="16"/>
                <w:szCs w:val="16"/>
              </w:rPr>
              <w:t>6,524.76</w:t>
            </w:r>
          </w:p>
        </w:tc>
      </w:tr>
      <w:tr w:rsidR="006D3AA0" w:rsidTr="1A373B2C" w14:paraId="7CD0808B" w14:textId="77777777">
        <w:tblPrEx>
          <w:tblCellMar>
            <w:top w:w="0" w:type="dxa"/>
            <w:bottom w:w="0" w:type="dxa"/>
          </w:tblCellMar>
        </w:tblPrEx>
        <w:trPr/>
        <w:tc>
          <w:tcPr>
            <w:tcW w:w="40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6D3AA0" w:rsidRDefault="00000000" w14:paraId="7AF7AE28" w14:textId="77777777">
            <w:r>
              <w:rPr>
                <w:sz w:val="16"/>
                <w:szCs w:val="16"/>
              </w:rPr>
              <w:t>LGs</w:t>
            </w:r>
          </w:p>
        </w:tc>
        <w:tc>
          <w:tcPr>
            <w:tcW w:w="34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6D3AA0" w:rsidRDefault="00000000" w14:paraId="0AE13590" w14:textId="77777777">
            <w:pPr>
              <w:jc w:val="right"/>
            </w:pPr>
            <w:r>
              <w:rPr>
                <w:sz w:val="16"/>
                <w:szCs w:val="16"/>
              </w:rPr>
              <w:t>3,876.20</w:t>
            </w:r>
          </w:p>
        </w:tc>
      </w:tr>
      <w:tr w:rsidR="006D3AA0" w:rsidTr="1A373B2C" w14:paraId="7CD1413D" w14:textId="77777777">
        <w:tblPrEx>
          <w:tblCellMar>
            <w:top w:w="0" w:type="dxa"/>
            <w:bottom w:w="0" w:type="dxa"/>
          </w:tblCellMar>
        </w:tblPrEx>
        <w:trPr/>
        <w:tc>
          <w:tcPr>
            <w:tcW w:w="40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2F2F2" w:themeFill="background1" w:themeFillShade="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6D3AA0" w:rsidRDefault="00000000" w14:paraId="65E04D47" w14:textId="77777777">
            <w:r>
              <w:rPr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34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2F2F2" w:themeFill="background1" w:themeFillShade="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6D3AA0" w:rsidRDefault="00000000" w14:paraId="69019580" w14:textId="77777777">
            <w:pPr>
              <w:jc w:val="right"/>
            </w:pPr>
            <w:r>
              <w:rPr>
                <w:b/>
                <w:bCs/>
                <w:sz w:val="16"/>
                <w:szCs w:val="16"/>
              </w:rPr>
              <w:t>15,827.03</w:t>
            </w:r>
          </w:p>
        </w:tc>
      </w:tr>
    </w:tbl>
    <w:p w:rsidR="004F1D2F" w:rsidP="1A373B2C" w:rsidRDefault="004C6F06" w14:paraId="559FC8AD" w14:textId="39813596">
      <w:pPr>
        <w:pBdr>
          <w:bottom w:val="single" w:color="FF000000" w:sz="6" w:space="1"/>
        </w:pBdr>
        <w:spacing w:after="150"/>
        <w:jc w:val="center"/>
        <w:rPr>
          <w:i w:val="1"/>
          <w:iCs w:val="1"/>
          <w:color w:val="595959"/>
          <w:sz w:val="18"/>
          <w:szCs w:val="18"/>
          <w:lang w:val="en-US"/>
        </w:rPr>
      </w:pPr>
      <w:r w:rsidRPr="1A373B2C" w:rsidR="004C6F06">
        <w:rPr>
          <w:i w:val="1"/>
          <w:iCs w:val="1"/>
          <w:color w:val="595959" w:themeColor="text1" w:themeTint="A6" w:themeShade="FF"/>
          <w:sz w:val="18"/>
          <w:szCs w:val="18"/>
          <w:lang w:val="en-US"/>
        </w:rPr>
        <w:t xml:space="preserve">Relative share of subsidy savings by each tier of government in proportion to their FAAC allocations. </w:t>
      </w:r>
      <w:r w:rsidRPr="1A373B2C" w:rsidR="004C6F06">
        <w:rPr>
          <w:i w:val="1"/>
          <w:iCs w:val="1"/>
          <w:color w:val="595959" w:themeColor="text1" w:themeTint="A6" w:themeShade="FF"/>
          <w:sz w:val="18"/>
          <w:szCs w:val="18"/>
          <w:lang w:val="en-US"/>
        </w:rPr>
        <w:t xml:space="preserve">States retained the largest </w:t>
      </w:r>
      <w:r w:rsidRPr="1A373B2C" w:rsidR="004C6F06">
        <w:rPr>
          <w:i w:val="1"/>
          <w:iCs w:val="1"/>
          <w:color w:val="595959" w:themeColor="text1" w:themeTint="A6" w:themeShade="FF"/>
          <w:sz w:val="18"/>
          <w:szCs w:val="18"/>
          <w:lang w:val="en-US"/>
        </w:rPr>
        <w:t xml:space="preserve">effective </w:t>
      </w:r>
      <w:r w:rsidRPr="1A373B2C" w:rsidR="004C6F06">
        <w:rPr>
          <w:i w:val="1"/>
          <w:iCs w:val="1"/>
          <w:color w:val="595959" w:themeColor="text1" w:themeTint="A6" w:themeShade="FF"/>
          <w:sz w:val="18"/>
          <w:szCs w:val="18"/>
          <w:lang w:val="en-US"/>
        </w:rPr>
        <w:t xml:space="preserve">share </w:t>
      </w:r>
      <w:r w:rsidRPr="1A373B2C" w:rsidR="004F1D2F">
        <w:rPr>
          <w:i w:val="1"/>
          <w:iCs w:val="1"/>
          <w:color w:val="595959" w:themeColor="text1" w:themeTint="A6" w:themeShade="FF"/>
          <w:sz w:val="18"/>
          <w:szCs w:val="18"/>
          <w:lang w:val="en-US"/>
        </w:rPr>
        <w:t>of</w:t>
      </w:r>
      <w:r w:rsidRPr="1A373B2C" w:rsidR="004C6F06">
        <w:rPr>
          <w:i w:val="1"/>
          <w:iCs w:val="1"/>
          <w:color w:val="595959" w:themeColor="text1" w:themeTint="A6" w:themeShade="FF"/>
          <w:sz w:val="18"/>
          <w:szCs w:val="18"/>
          <w:lang w:val="en-US"/>
        </w:rPr>
        <w:t xml:space="preserve"> 41%</w:t>
      </w:r>
      <w:r w:rsidRPr="1A373B2C" w:rsidR="004F1D2F">
        <w:rPr>
          <w:i w:val="1"/>
          <w:iCs w:val="1"/>
          <w:color w:val="595959" w:themeColor="text1" w:themeTint="A6" w:themeShade="FF"/>
          <w:sz w:val="18"/>
          <w:szCs w:val="18"/>
          <w:lang w:val="en-US"/>
        </w:rPr>
        <w:t>, FG 34% and LGs 24%</w:t>
      </w:r>
      <w:r w:rsidRPr="1A373B2C" w:rsidR="004C6F06">
        <w:rPr>
          <w:i w:val="1"/>
          <w:iCs w:val="1"/>
          <w:color w:val="595959" w:themeColor="text1" w:themeTint="A6" w:themeShade="FF"/>
          <w:sz w:val="18"/>
          <w:szCs w:val="18"/>
          <w:lang w:val="en-US"/>
        </w:rPr>
        <w:t>.</w:t>
      </w:r>
    </w:p>
    <w:p w:rsidR="00221F0C" w:rsidP="004F1D2F" w:rsidRDefault="00221F0C" w14:paraId="54C38193" w14:textId="77777777">
      <w:pPr>
        <w:pBdr>
          <w:bottom w:val="single" w:color="auto" w:sz="6" w:space="1"/>
        </w:pBdr>
        <w:spacing w:after="150"/>
        <w:jc w:val="center"/>
        <w:rPr>
          <w:i/>
          <w:iCs/>
          <w:color w:val="595959"/>
          <w:sz w:val="18"/>
          <w:szCs w:val="18"/>
        </w:rPr>
      </w:pPr>
    </w:p>
    <w:p w:rsidR="004F1D2F" w:rsidP="00221F0C" w:rsidRDefault="004F1D2F" w14:paraId="578AABC5" w14:textId="77777777">
      <w:pPr>
        <w:spacing w:after="150"/>
      </w:pPr>
    </w:p>
    <w:p w:rsidR="006D3AA0" w:rsidRDefault="00000000" w14:paraId="715ED2DA" w14:textId="2D48A911">
      <w:pPr>
        <w:spacing w:after="150"/>
        <w:jc w:val="center"/>
      </w:pPr>
      <w:r>
        <w:rPr>
          <w:noProof/>
        </w:rPr>
        <w:drawing>
          <wp:inline distT="0" distB="0" distL="0" distR="0" wp14:anchorId="48E1D391" wp14:editId="40FC9D44">
            <wp:extent cx="3479800" cy="1955316"/>
            <wp:effectExtent l="0" t="0" r="0" b="635"/>
            <wp:docPr id="1258125892" name="Picture 12581258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310" cy="1998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7258" w:type="dxa"/>
        <w:jc w:val="lef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2"/>
        <w:gridCol w:w="2746"/>
      </w:tblGrid>
      <w:tr w:rsidR="006D3AA0" w:rsidTr="1A373B2C" w14:paraId="3FF706D1" w14:textId="77777777">
        <w:tblPrEx>
          <w:tblCellMar>
            <w:top w:w="0" w:type="dxa"/>
            <w:bottom w:w="0" w:type="dxa"/>
          </w:tblCellMar>
        </w:tblPrEx>
        <w:trPr>
          <w:trHeight w:val="176"/>
          <w:tblHeader/>
        </w:trPr>
        <w:tc>
          <w:tcPr>
            <w:tcW w:w="4512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1F3864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6D3AA0" w:rsidRDefault="00000000" w14:paraId="5DCBEF54" w14:textId="77777777">
            <w:r>
              <w:rPr>
                <w:b/>
                <w:bCs/>
                <w:color w:val="FFFFFF"/>
                <w:sz w:val="16"/>
                <w:szCs w:val="16"/>
              </w:rPr>
              <w:t>Description</w:t>
            </w:r>
          </w:p>
        </w:tc>
        <w:tc>
          <w:tcPr>
            <w:tcW w:w="274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1F3864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6D3AA0" w:rsidRDefault="00000000" w14:paraId="73A94633" w14:textId="77777777">
            <w:r>
              <w:rPr>
                <w:b/>
                <w:bCs/>
                <w:color w:val="FFFFFF"/>
                <w:sz w:val="16"/>
                <w:szCs w:val="16"/>
              </w:rPr>
              <w:t>₦ Billion</w:t>
            </w:r>
          </w:p>
        </w:tc>
      </w:tr>
      <w:tr w:rsidR="006D3AA0" w:rsidTr="1A373B2C" w14:paraId="445DE104" w14:textId="77777777">
        <w:tblPrEx>
          <w:tblCellMar>
            <w:top w:w="0" w:type="dxa"/>
            <w:bottom w:w="0" w:type="dxa"/>
          </w:tblCellMar>
        </w:tblPrEx>
        <w:trPr>
          <w:trHeight w:val="176"/>
        </w:trPr>
        <w:tc>
          <w:tcPr>
            <w:tcW w:w="4512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6D3AA0" w:rsidRDefault="00000000" w14:paraId="02CD562C" w14:textId="77777777">
            <w:r>
              <w:rPr>
                <w:sz w:val="16"/>
                <w:szCs w:val="16"/>
              </w:rPr>
              <w:t>Subsidy savings (FG)</w:t>
            </w:r>
          </w:p>
        </w:tc>
        <w:tc>
          <w:tcPr>
            <w:tcW w:w="274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6D3AA0" w:rsidRDefault="00000000" w14:paraId="1A6F8C16" w14:textId="77777777">
            <w:pPr>
              <w:jc w:val="right"/>
            </w:pPr>
            <w:r>
              <w:rPr>
                <w:sz w:val="16"/>
                <w:szCs w:val="16"/>
              </w:rPr>
              <w:t>5,426.07</w:t>
            </w:r>
          </w:p>
        </w:tc>
      </w:tr>
      <w:tr w:rsidR="006D3AA0" w:rsidTr="1A373B2C" w14:paraId="35E07062" w14:textId="77777777">
        <w:tblPrEx>
          <w:tblCellMar>
            <w:top w:w="0" w:type="dxa"/>
            <w:bottom w:w="0" w:type="dxa"/>
          </w:tblCellMar>
        </w:tblPrEx>
        <w:trPr>
          <w:trHeight w:val="176"/>
        </w:trPr>
        <w:tc>
          <w:tcPr>
            <w:tcW w:w="4512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6D3AA0" w:rsidRDefault="00000000" w14:paraId="608E29B2" w14:textId="77777777">
            <w:r>
              <w:rPr>
                <w:sz w:val="16"/>
                <w:szCs w:val="16"/>
              </w:rPr>
              <w:t>Other incremental revenues</w:t>
            </w:r>
          </w:p>
        </w:tc>
        <w:tc>
          <w:tcPr>
            <w:tcW w:w="274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6D3AA0" w:rsidRDefault="00000000" w14:paraId="48E28A4C" w14:textId="77777777">
            <w:pPr>
              <w:jc w:val="right"/>
            </w:pPr>
            <w:r>
              <w:rPr>
                <w:sz w:val="16"/>
                <w:szCs w:val="16"/>
              </w:rPr>
              <w:t>3,124.51</w:t>
            </w:r>
          </w:p>
        </w:tc>
      </w:tr>
      <w:tr w:rsidR="006D3AA0" w:rsidTr="1A373B2C" w14:paraId="2748BEC0" w14:textId="77777777">
        <w:tblPrEx>
          <w:tblCellMar>
            <w:top w:w="0" w:type="dxa"/>
            <w:bottom w:w="0" w:type="dxa"/>
          </w:tblCellMar>
        </w:tblPrEx>
        <w:trPr>
          <w:trHeight w:val="176"/>
        </w:trPr>
        <w:tc>
          <w:tcPr>
            <w:tcW w:w="4512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6D3AA0" w:rsidRDefault="00000000" w14:paraId="7E443338" w14:textId="77777777">
            <w:r>
              <w:rPr>
                <w:sz w:val="16"/>
                <w:szCs w:val="16"/>
              </w:rPr>
              <w:t>Incremental borrowing</w:t>
            </w:r>
          </w:p>
        </w:tc>
        <w:tc>
          <w:tcPr>
            <w:tcW w:w="274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6D3AA0" w:rsidRDefault="00000000" w14:paraId="196DE076" w14:textId="77777777">
            <w:pPr>
              <w:jc w:val="right"/>
            </w:pPr>
            <w:r>
              <w:rPr>
                <w:sz w:val="16"/>
                <w:szCs w:val="16"/>
              </w:rPr>
              <w:t>11,853.54</w:t>
            </w:r>
          </w:p>
        </w:tc>
      </w:tr>
      <w:tr w:rsidR="006D3AA0" w:rsidTr="1A373B2C" w14:paraId="22A6BD97" w14:textId="77777777">
        <w:tblPrEx>
          <w:tblCellMar>
            <w:top w:w="0" w:type="dxa"/>
            <w:bottom w:w="0" w:type="dxa"/>
          </w:tblCellMar>
        </w:tblPrEx>
        <w:trPr>
          <w:trHeight w:val="25"/>
        </w:trPr>
        <w:tc>
          <w:tcPr>
            <w:tcW w:w="4512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2F2F2" w:themeFill="background1" w:themeFillShade="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6D3AA0" w:rsidRDefault="00000000" w14:paraId="2CCA81DA" w14:textId="77777777">
            <w:r>
              <w:rPr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274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2F2F2" w:themeFill="background1" w:themeFillShade="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6D3AA0" w:rsidRDefault="00000000" w14:paraId="6FE44137" w14:textId="77777777">
            <w:pPr>
              <w:jc w:val="right"/>
            </w:pPr>
            <w:r>
              <w:rPr>
                <w:b/>
                <w:bCs/>
                <w:sz w:val="16"/>
                <w:szCs w:val="16"/>
              </w:rPr>
              <w:t>20,404.12</w:t>
            </w:r>
          </w:p>
        </w:tc>
      </w:tr>
    </w:tbl>
    <w:p w:rsidR="006D3AA0" w:rsidP="004F1D2F" w:rsidRDefault="004F1D2F" w14:paraId="71C3FED4" w14:textId="41BCB401">
      <w:pPr>
        <w:spacing w:after="150"/>
        <w:jc w:val="center"/>
      </w:pPr>
      <w:r w:rsidRPr="1A373B2C" w:rsidR="004F1D2F">
        <w:rPr>
          <w:i w:val="1"/>
          <w:iCs w:val="1"/>
          <w:color w:val="595959" w:themeColor="text1" w:themeTint="A6" w:themeShade="FF"/>
          <w:sz w:val="18"/>
          <w:szCs w:val="18"/>
          <w:lang w:val="en-US"/>
        </w:rPr>
        <w:t>O</w:t>
      </w:r>
      <w:r w:rsidRPr="1A373B2C" w:rsidR="004F1D2F">
        <w:rPr>
          <w:i w:val="1"/>
          <w:iCs w:val="1"/>
          <w:color w:val="595959" w:themeColor="text1" w:themeTint="A6" w:themeShade="FF"/>
          <w:sz w:val="18"/>
          <w:szCs w:val="18"/>
          <w:lang w:val="en-US"/>
        </w:rPr>
        <w:t xml:space="preserve">ther incremental revenues </w:t>
      </w:r>
      <w:r w:rsidRPr="1A373B2C" w:rsidR="004F1D2F">
        <w:rPr>
          <w:i w:val="1"/>
          <w:iCs w:val="1"/>
          <w:color w:val="595959" w:themeColor="text1" w:themeTint="A6" w:themeShade="FF"/>
          <w:sz w:val="18"/>
          <w:szCs w:val="18"/>
          <w:lang w:val="en-US"/>
        </w:rPr>
        <w:t xml:space="preserve">is </w:t>
      </w:r>
      <w:r w:rsidRPr="1A373B2C" w:rsidR="004F1D2F">
        <w:rPr>
          <w:i w:val="1"/>
          <w:iCs w:val="1"/>
          <w:color w:val="595959" w:themeColor="text1" w:themeTint="A6" w:themeShade="FF"/>
          <w:sz w:val="18"/>
          <w:szCs w:val="18"/>
          <w:lang w:val="en-US"/>
        </w:rPr>
        <w:t>chiefly government-owned entities' remittances.</w:t>
      </w:r>
    </w:p>
    <w:p w:rsidR="006D3AA0" w:rsidP="004F1D2F" w:rsidRDefault="00000000" w14:paraId="0713F4F8" w14:textId="3BB95722">
      <w:pPr>
        <w:pStyle w:val="Heading1"/>
        <w:spacing w:before="200" w:after="100"/>
        <w:jc w:val="center"/>
      </w:pPr>
      <w:r>
        <w:rPr>
          <w:color w:val="1F3864"/>
        </w:rPr>
        <w:t>How the Money is Spent</w:t>
      </w:r>
    </w:p>
    <w:p w:rsidR="006D3AA0" w:rsidRDefault="00000000" w14:paraId="23A97B6D" w14:textId="77777777">
      <w:pPr>
        <w:spacing w:after="150"/>
        <w:jc w:val="center"/>
      </w:pPr>
      <w:r>
        <w:rPr>
          <w:noProof/>
        </w:rPr>
        <w:drawing>
          <wp:inline distT="0" distB="0" distL="0" distR="0" wp14:anchorId="7942172A" wp14:editId="777F92C0">
            <wp:extent cx="4381500" cy="2219325"/>
            <wp:effectExtent l="0" t="0" r="0" b="0"/>
            <wp:docPr id="1478745086" name="Picture 14787450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8800" w:type="dxa"/>
        <w:jc w:val="lef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00"/>
        <w:gridCol w:w="2400"/>
      </w:tblGrid>
      <w:tr w:rsidR="006D3AA0" w:rsidTr="1A373B2C" w14:paraId="0A9B22D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4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1F3864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6D3AA0" w:rsidRDefault="00000000" w14:paraId="37F0DA51" w14:textId="77777777">
            <w:r>
              <w:rPr>
                <w:b/>
                <w:bCs/>
                <w:color w:val="FFFFFF"/>
                <w:sz w:val="16"/>
                <w:szCs w:val="16"/>
              </w:rPr>
              <w:t>Description</w:t>
            </w:r>
          </w:p>
        </w:tc>
        <w:tc>
          <w:tcPr>
            <w:tcW w:w="24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1F3864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6D3AA0" w:rsidRDefault="00000000" w14:paraId="2DF42779" w14:textId="77777777">
            <w:r>
              <w:rPr>
                <w:b/>
                <w:bCs/>
                <w:color w:val="FFFFFF"/>
                <w:sz w:val="16"/>
                <w:szCs w:val="16"/>
              </w:rPr>
              <w:t>₦ Billion</w:t>
            </w:r>
          </w:p>
        </w:tc>
      </w:tr>
      <w:tr w:rsidR="006D3AA0" w:rsidTr="1A373B2C" w14:paraId="1CDBC2D7" w14:textId="77777777">
        <w:tblPrEx>
          <w:tblCellMar>
            <w:top w:w="0" w:type="dxa"/>
            <w:bottom w:w="0" w:type="dxa"/>
          </w:tblCellMar>
        </w:tblPrEx>
        <w:trPr/>
        <w:tc>
          <w:tcPr>
            <w:tcW w:w="64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6D3AA0" w:rsidRDefault="00000000" w14:paraId="7C93D8A2" w14:textId="77777777">
            <w:r>
              <w:rPr>
                <w:sz w:val="16"/>
                <w:szCs w:val="16"/>
              </w:rPr>
              <w:t>Wage adjustments (min. wage increase, wage awards, allowances)</w:t>
            </w:r>
          </w:p>
        </w:tc>
        <w:tc>
          <w:tcPr>
            <w:tcW w:w="24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6D3AA0" w:rsidRDefault="00000000" w14:paraId="4EEAB2D7" w14:textId="77777777">
            <w:pPr>
              <w:jc w:val="right"/>
            </w:pPr>
            <w:r>
              <w:rPr>
                <w:sz w:val="16"/>
                <w:szCs w:val="16"/>
              </w:rPr>
              <w:t>9,386.90</w:t>
            </w:r>
          </w:p>
        </w:tc>
      </w:tr>
      <w:tr w:rsidR="006D3AA0" w:rsidTr="1A373B2C" w14:paraId="012FC9FC" w14:textId="77777777">
        <w:tblPrEx>
          <w:tblCellMar>
            <w:top w:w="0" w:type="dxa"/>
            <w:bottom w:w="0" w:type="dxa"/>
          </w:tblCellMar>
        </w:tblPrEx>
        <w:trPr/>
        <w:tc>
          <w:tcPr>
            <w:tcW w:w="64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6D3AA0" w:rsidRDefault="00000000" w14:paraId="35CE78B0" w14:textId="77777777">
            <w:r>
              <w:rPr>
                <w:sz w:val="16"/>
                <w:szCs w:val="16"/>
              </w:rPr>
              <w:t>Ext. debt service – impact of exch. rate depreciation</w:t>
            </w:r>
          </w:p>
        </w:tc>
        <w:tc>
          <w:tcPr>
            <w:tcW w:w="24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6D3AA0" w:rsidRDefault="00000000" w14:paraId="4CF8D5D2" w14:textId="77777777">
            <w:pPr>
              <w:jc w:val="right"/>
            </w:pPr>
            <w:r>
              <w:rPr>
                <w:sz w:val="16"/>
                <w:szCs w:val="16"/>
              </w:rPr>
              <w:t>9,365.71</w:t>
            </w:r>
          </w:p>
        </w:tc>
      </w:tr>
      <w:tr w:rsidR="006D3AA0" w:rsidTr="1A373B2C" w14:paraId="3E2C1C97" w14:textId="77777777">
        <w:tblPrEx>
          <w:tblCellMar>
            <w:top w:w="0" w:type="dxa"/>
            <w:bottom w:w="0" w:type="dxa"/>
          </w:tblCellMar>
        </w:tblPrEx>
        <w:trPr/>
        <w:tc>
          <w:tcPr>
            <w:tcW w:w="64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6D3AA0" w:rsidRDefault="00000000" w14:paraId="21648338" w14:textId="77777777">
            <w:r>
              <w:rPr>
                <w:sz w:val="16"/>
                <w:szCs w:val="16"/>
              </w:rPr>
              <w:t>Strategic infrastructure development</w:t>
            </w:r>
          </w:p>
        </w:tc>
        <w:tc>
          <w:tcPr>
            <w:tcW w:w="24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6D3AA0" w:rsidRDefault="00000000" w14:paraId="280AB770" w14:textId="77777777">
            <w:pPr>
              <w:jc w:val="right"/>
            </w:pPr>
            <w:r>
              <w:rPr>
                <w:sz w:val="16"/>
                <w:szCs w:val="16"/>
              </w:rPr>
              <w:t>6,465.39</w:t>
            </w:r>
          </w:p>
        </w:tc>
      </w:tr>
      <w:tr w:rsidR="006D3AA0" w:rsidTr="1A373B2C" w14:paraId="4527CCA3" w14:textId="77777777">
        <w:tblPrEx>
          <w:tblCellMar>
            <w:top w:w="0" w:type="dxa"/>
            <w:bottom w:w="0" w:type="dxa"/>
          </w:tblCellMar>
        </w:tblPrEx>
        <w:trPr/>
        <w:tc>
          <w:tcPr>
            <w:tcW w:w="64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6D3AA0" w:rsidRDefault="00000000" w14:paraId="3D51A755" w14:textId="77777777">
            <w:r>
              <w:rPr>
                <w:sz w:val="16"/>
                <w:szCs w:val="16"/>
              </w:rPr>
              <w:t>Electricity subsidy (incremental amount)</w:t>
            </w:r>
          </w:p>
        </w:tc>
        <w:tc>
          <w:tcPr>
            <w:tcW w:w="24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6D3AA0" w:rsidRDefault="00000000" w14:paraId="008D3B47" w14:textId="77777777">
            <w:pPr>
              <w:jc w:val="right"/>
            </w:pPr>
            <w:r>
              <w:rPr>
                <w:sz w:val="16"/>
                <w:szCs w:val="16"/>
              </w:rPr>
              <w:t>3,138.15</w:t>
            </w:r>
          </w:p>
        </w:tc>
      </w:tr>
      <w:tr w:rsidR="006D3AA0" w:rsidTr="1A373B2C" w14:paraId="03C77066" w14:textId="77777777">
        <w:tblPrEx>
          <w:tblCellMar>
            <w:top w:w="0" w:type="dxa"/>
            <w:bottom w:w="0" w:type="dxa"/>
          </w:tblCellMar>
        </w:tblPrEx>
        <w:trPr/>
        <w:tc>
          <w:tcPr>
            <w:tcW w:w="64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6D3AA0" w:rsidRDefault="00000000" w14:paraId="22E26BC0" w14:textId="77777777">
            <w:r>
              <w:rPr>
                <w:sz w:val="16"/>
                <w:szCs w:val="16"/>
              </w:rPr>
              <w:t>Domestic debt service – impact of MPC rate hike</w:t>
            </w:r>
          </w:p>
        </w:tc>
        <w:tc>
          <w:tcPr>
            <w:tcW w:w="24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6D3AA0" w:rsidRDefault="00000000" w14:paraId="634C5E38" w14:textId="77777777">
            <w:pPr>
              <w:jc w:val="right"/>
            </w:pPr>
            <w:r>
              <w:rPr>
                <w:sz w:val="16"/>
                <w:szCs w:val="16"/>
              </w:rPr>
              <w:t>1,240.24</w:t>
            </w:r>
          </w:p>
        </w:tc>
      </w:tr>
      <w:tr w:rsidR="006D3AA0" w:rsidTr="1A373B2C" w14:paraId="0FAAF993" w14:textId="77777777">
        <w:tblPrEx>
          <w:tblCellMar>
            <w:top w:w="0" w:type="dxa"/>
            <w:bottom w:w="0" w:type="dxa"/>
          </w:tblCellMar>
        </w:tblPrEx>
        <w:trPr/>
        <w:tc>
          <w:tcPr>
            <w:tcW w:w="64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6D3AA0" w:rsidRDefault="00000000" w14:paraId="152FBBAB" w14:textId="77777777">
            <w:r>
              <w:rPr>
                <w:sz w:val="16"/>
                <w:szCs w:val="16"/>
              </w:rPr>
              <w:t>Social welfare transfers</w:t>
            </w:r>
          </w:p>
        </w:tc>
        <w:tc>
          <w:tcPr>
            <w:tcW w:w="24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6D3AA0" w:rsidRDefault="00000000" w14:paraId="633F54F4" w14:textId="77777777">
            <w:pPr>
              <w:jc w:val="right"/>
            </w:pPr>
            <w:r>
              <w:rPr>
                <w:sz w:val="16"/>
                <w:szCs w:val="16"/>
              </w:rPr>
              <w:t>423.80</w:t>
            </w:r>
          </w:p>
        </w:tc>
      </w:tr>
      <w:tr w:rsidR="006D3AA0" w:rsidTr="1A373B2C" w14:paraId="6A535A02" w14:textId="77777777">
        <w:tblPrEx>
          <w:tblCellMar>
            <w:top w:w="0" w:type="dxa"/>
            <w:bottom w:w="0" w:type="dxa"/>
          </w:tblCellMar>
        </w:tblPrEx>
        <w:trPr/>
        <w:tc>
          <w:tcPr>
            <w:tcW w:w="64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6D3AA0" w:rsidRDefault="00000000" w14:paraId="2D352337" w14:textId="77777777">
            <w:r>
              <w:rPr>
                <w:sz w:val="16"/>
                <w:szCs w:val="16"/>
              </w:rPr>
              <w:t>FCT Development, Ecological Fund, Natural Resource Inv. etc.</w:t>
            </w:r>
          </w:p>
        </w:tc>
        <w:tc>
          <w:tcPr>
            <w:tcW w:w="24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6D3AA0" w:rsidRDefault="00000000" w14:paraId="6A94D244" w14:textId="77777777">
            <w:pPr>
              <w:jc w:val="right"/>
            </w:pPr>
            <w:r>
              <w:rPr>
                <w:sz w:val="16"/>
                <w:szCs w:val="16"/>
              </w:rPr>
              <w:t>419.10</w:t>
            </w:r>
          </w:p>
        </w:tc>
      </w:tr>
      <w:tr w:rsidR="006D3AA0" w:rsidTr="1A373B2C" w14:paraId="272E591E" w14:textId="77777777">
        <w:tblPrEx>
          <w:tblCellMar>
            <w:top w:w="0" w:type="dxa"/>
            <w:bottom w:w="0" w:type="dxa"/>
          </w:tblCellMar>
        </w:tblPrEx>
        <w:trPr/>
        <w:tc>
          <w:tcPr>
            <w:tcW w:w="64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6D3AA0" w:rsidRDefault="00000000" w14:paraId="1AB100BB" w14:textId="77777777">
            <w:r>
              <w:rPr>
                <w:sz w:val="16"/>
                <w:szCs w:val="16"/>
              </w:rPr>
              <w:t>Higher naira cost of foreign obligations</w:t>
            </w:r>
          </w:p>
        </w:tc>
        <w:tc>
          <w:tcPr>
            <w:tcW w:w="24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6D3AA0" w:rsidRDefault="00000000" w14:paraId="1375BF08" w14:textId="77777777">
            <w:pPr>
              <w:jc w:val="right"/>
            </w:pPr>
            <w:r>
              <w:rPr>
                <w:sz w:val="16"/>
                <w:szCs w:val="16"/>
              </w:rPr>
              <w:t>201.26</w:t>
            </w:r>
          </w:p>
        </w:tc>
      </w:tr>
      <w:tr w:rsidR="006D3AA0" w:rsidTr="1A373B2C" w14:paraId="0BC90519" w14:textId="77777777">
        <w:tblPrEx>
          <w:tblCellMar>
            <w:top w:w="0" w:type="dxa"/>
            <w:bottom w:w="0" w:type="dxa"/>
          </w:tblCellMar>
        </w:tblPrEx>
        <w:trPr/>
        <w:tc>
          <w:tcPr>
            <w:tcW w:w="64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2F2F2" w:themeFill="background1" w:themeFillShade="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6D3AA0" w:rsidRDefault="00000000" w14:paraId="381DAB1E" w14:textId="77777777">
            <w:r>
              <w:rPr>
                <w:b/>
                <w:bCs/>
                <w:sz w:val="16"/>
                <w:szCs w:val="16"/>
              </w:rPr>
              <w:t>TOTAL INCREMENTAL EXPENSES</w:t>
            </w:r>
          </w:p>
        </w:tc>
        <w:tc>
          <w:tcPr>
            <w:tcW w:w="24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2F2F2" w:themeFill="background1" w:themeFillShade="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6D3AA0" w:rsidRDefault="00000000" w14:paraId="653A61DB" w14:textId="77777777">
            <w:pPr>
              <w:jc w:val="right"/>
            </w:pPr>
            <w:r>
              <w:rPr>
                <w:b/>
                <w:bCs/>
                <w:sz w:val="16"/>
                <w:szCs w:val="16"/>
              </w:rPr>
              <w:t>30,640.54</w:t>
            </w:r>
          </w:p>
        </w:tc>
      </w:tr>
    </w:tbl>
    <w:p w:rsidR="006D3AA0" w:rsidP="00210B82" w:rsidRDefault="00000000" w14:paraId="39D55132" w14:textId="014F2969">
      <w:pPr>
        <w:spacing w:after="150"/>
        <w:jc w:val="center"/>
      </w:pPr>
      <w:r w:rsidRPr="1A373B2C" w:rsidR="00000000">
        <w:rPr>
          <w:i w:val="1"/>
          <w:iCs w:val="1"/>
          <w:color w:val="595959" w:themeColor="text1" w:themeTint="A6" w:themeShade="FF"/>
          <w:sz w:val="18"/>
          <w:szCs w:val="18"/>
          <w:lang w:val="en-US"/>
        </w:rPr>
        <w:t xml:space="preserve">Wage adjustments </w:t>
      </w:r>
      <w:r w:rsidRPr="1A373B2C" w:rsidR="00210B82">
        <w:rPr>
          <w:i w:val="1"/>
          <w:iCs w:val="1"/>
          <w:color w:val="595959" w:themeColor="text1" w:themeTint="A6" w:themeShade="FF"/>
          <w:sz w:val="18"/>
          <w:szCs w:val="18"/>
          <w:lang w:val="en-US"/>
        </w:rPr>
        <w:t>alone (N9.4 Trillion) accounted for nearly twice the subsidy savings accruing to the FG (N5 Trillion) excluding share of statutury funds</w:t>
      </w:r>
      <w:r w:rsidRPr="1A373B2C" w:rsidR="00000000">
        <w:rPr>
          <w:i w:val="1"/>
          <w:iCs w:val="1"/>
          <w:color w:val="595959" w:themeColor="text1" w:themeTint="A6" w:themeShade="FF"/>
          <w:sz w:val="18"/>
          <w:szCs w:val="18"/>
          <w:lang w:val="en-US"/>
        </w:rPr>
        <w:t>.</w:t>
      </w:r>
    </w:p>
    <w:p w:rsidR="006D3AA0" w:rsidP="00210B82" w:rsidRDefault="00000000" w14:paraId="4798BF15" w14:textId="7A30F57A">
      <w:pPr>
        <w:pStyle w:val="Heading1"/>
        <w:spacing w:before="200" w:after="100"/>
        <w:jc w:val="center"/>
      </w:pPr>
      <w:r>
        <w:rPr>
          <w:color w:val="1F3864"/>
        </w:rPr>
        <w:t xml:space="preserve">How </w:t>
      </w:r>
      <w:r w:rsidR="00210B82">
        <w:rPr>
          <w:color w:val="1F3864"/>
        </w:rPr>
        <w:t>the</w:t>
      </w:r>
      <w:r>
        <w:rPr>
          <w:color w:val="1F3864"/>
        </w:rPr>
        <w:t xml:space="preserve"> Spending Was Funded</w:t>
      </w:r>
    </w:p>
    <w:p w:rsidR="006D3AA0" w:rsidRDefault="00000000" w14:paraId="49E77340" w14:textId="77777777">
      <w:pPr>
        <w:spacing w:after="150"/>
        <w:jc w:val="center"/>
      </w:pPr>
      <w:r>
        <w:rPr>
          <w:noProof/>
        </w:rPr>
        <w:drawing>
          <wp:inline distT="0" distB="0" distL="0" distR="0" wp14:anchorId="742DD08D" wp14:editId="1CA6945B">
            <wp:extent cx="3048000" cy="1762125"/>
            <wp:effectExtent l="0" t="0" r="0" b="0"/>
            <wp:docPr id="1605847673" name="Picture 1605847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7400" w:type="dxa"/>
        <w:jc w:val="lef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0"/>
        <w:gridCol w:w="2800"/>
      </w:tblGrid>
      <w:tr w:rsidR="006D3AA0" w:rsidTr="1A373B2C" w14:paraId="384E155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6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1F3864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6D3AA0" w:rsidRDefault="00000000" w14:paraId="4F3D4A4C" w14:textId="77777777">
            <w:r>
              <w:rPr>
                <w:b/>
                <w:bCs/>
                <w:color w:val="FFFFFF"/>
                <w:sz w:val="16"/>
                <w:szCs w:val="16"/>
              </w:rPr>
              <w:t>Source</w:t>
            </w:r>
          </w:p>
        </w:tc>
        <w:tc>
          <w:tcPr>
            <w:tcW w:w="28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1F3864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6D3AA0" w:rsidRDefault="00000000" w14:paraId="7D581C99" w14:textId="77777777">
            <w:r>
              <w:rPr>
                <w:b/>
                <w:bCs/>
                <w:color w:val="FFFFFF"/>
                <w:sz w:val="16"/>
                <w:szCs w:val="16"/>
              </w:rPr>
              <w:t>₦ Billion</w:t>
            </w:r>
          </w:p>
        </w:tc>
      </w:tr>
      <w:tr w:rsidR="006D3AA0" w:rsidTr="1A373B2C" w14:paraId="5DED4890" w14:textId="77777777">
        <w:tblPrEx>
          <w:tblCellMar>
            <w:top w:w="0" w:type="dxa"/>
            <w:bottom w:w="0" w:type="dxa"/>
          </w:tblCellMar>
        </w:tblPrEx>
        <w:trPr/>
        <w:tc>
          <w:tcPr>
            <w:tcW w:w="46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6D3AA0" w:rsidRDefault="00000000" w14:paraId="26966D53" w14:textId="77777777">
            <w:r>
              <w:rPr>
                <w:sz w:val="16"/>
                <w:szCs w:val="16"/>
              </w:rPr>
              <w:t>Funded by incremental resources (Table D)</w:t>
            </w:r>
          </w:p>
        </w:tc>
        <w:tc>
          <w:tcPr>
            <w:tcW w:w="28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6D3AA0" w:rsidRDefault="00000000" w14:paraId="73ECC923" w14:textId="77777777">
            <w:pPr>
              <w:jc w:val="right"/>
            </w:pPr>
            <w:r>
              <w:rPr>
                <w:sz w:val="16"/>
                <w:szCs w:val="16"/>
              </w:rPr>
              <w:t>20,404.12</w:t>
            </w:r>
          </w:p>
        </w:tc>
      </w:tr>
      <w:tr w:rsidR="006D3AA0" w:rsidTr="1A373B2C" w14:paraId="4251FDA7" w14:textId="77777777">
        <w:tblPrEx>
          <w:tblCellMar>
            <w:top w:w="0" w:type="dxa"/>
            <w:bottom w:w="0" w:type="dxa"/>
          </w:tblCellMar>
        </w:tblPrEx>
        <w:trPr/>
        <w:tc>
          <w:tcPr>
            <w:tcW w:w="46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6D3AA0" w:rsidRDefault="00000000" w14:paraId="73059819" w14:textId="77777777">
            <w:r>
              <w:rPr>
                <w:sz w:val="16"/>
                <w:szCs w:val="16"/>
              </w:rPr>
              <w:t>Funded from existing revenue base</w:t>
            </w:r>
          </w:p>
        </w:tc>
        <w:tc>
          <w:tcPr>
            <w:tcW w:w="28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6D3AA0" w:rsidRDefault="00000000" w14:paraId="38A8E47A" w14:textId="77777777">
            <w:pPr>
              <w:jc w:val="right"/>
            </w:pPr>
            <w:r>
              <w:rPr>
                <w:sz w:val="16"/>
                <w:szCs w:val="16"/>
              </w:rPr>
              <w:t>10,236.42</w:t>
            </w:r>
          </w:p>
        </w:tc>
      </w:tr>
      <w:tr w:rsidR="006D3AA0" w:rsidTr="1A373B2C" w14:paraId="43B166AD" w14:textId="77777777">
        <w:tblPrEx>
          <w:tblCellMar>
            <w:top w:w="0" w:type="dxa"/>
            <w:bottom w:w="0" w:type="dxa"/>
          </w:tblCellMar>
        </w:tblPrEx>
        <w:trPr/>
        <w:tc>
          <w:tcPr>
            <w:tcW w:w="46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2F2F2" w:themeFill="background1" w:themeFillShade="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6D3AA0" w:rsidRDefault="00000000" w14:paraId="5E7CC7A2" w14:textId="77777777">
            <w:r>
              <w:rPr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28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2F2F2" w:themeFill="background1" w:themeFillShade="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6D3AA0" w:rsidRDefault="00000000" w14:paraId="74037521" w14:textId="77777777">
            <w:pPr>
              <w:jc w:val="right"/>
            </w:pPr>
            <w:r>
              <w:rPr>
                <w:b/>
                <w:bCs/>
                <w:sz w:val="16"/>
                <w:szCs w:val="16"/>
              </w:rPr>
              <w:t>30,640.54</w:t>
            </w:r>
          </w:p>
        </w:tc>
      </w:tr>
    </w:tbl>
    <w:p w:rsidR="006D3AA0" w:rsidP="1A373B2C" w:rsidRDefault="006D3AA0" w14:paraId="74D3179A" w14:textId="578CCFDC">
      <w:pPr>
        <w:spacing w:after="150"/>
        <w:sectPr w:rsidR="006D3AA0">
          <w:pgSz w:w="12240" w:h="15840" w:orient="portrait"/>
          <w:pgMar w:top="720" w:right="900" w:bottom="720" w:left="900" w:header="708" w:footer="708" w:gutter="0"/>
          <w:cols w:space="720"/>
          <w:docGrid w:linePitch="360"/>
        </w:sectPr>
      </w:pPr>
      <w:r w:rsidRPr="1A373B2C" w:rsidR="00000000">
        <w:rPr>
          <w:i w:val="1"/>
          <w:iCs w:val="1"/>
          <w:color w:val="595959" w:themeColor="text1" w:themeTint="A6" w:themeShade="FF"/>
          <w:sz w:val="18"/>
          <w:szCs w:val="18"/>
          <w:lang w:val="en-US"/>
        </w:rPr>
        <w:t xml:space="preserve">Two-thirds of the reform-related spending was covered by the incremental resources </w:t>
      </w:r>
      <w:r w:rsidRPr="1A373B2C" w:rsidR="00000000">
        <w:rPr>
          <w:i w:val="1"/>
          <w:iCs w:val="1"/>
          <w:color w:val="595959" w:themeColor="text1" w:themeTint="A6" w:themeShade="FF"/>
          <w:sz w:val="18"/>
          <w:szCs w:val="18"/>
          <w:lang w:val="en-US"/>
        </w:rPr>
        <w:t>summarised</w:t>
      </w:r>
      <w:r w:rsidRPr="1A373B2C" w:rsidR="00000000">
        <w:rPr>
          <w:i w:val="1"/>
          <w:iCs w:val="1"/>
          <w:color w:val="595959" w:themeColor="text1" w:themeTint="A6" w:themeShade="FF"/>
          <w:sz w:val="18"/>
          <w:szCs w:val="18"/>
          <w:lang w:val="en-US"/>
        </w:rPr>
        <w:t xml:space="preserve"> in Table D; the </w:t>
      </w:r>
      <w:r w:rsidRPr="1A373B2C" w:rsidR="00000000">
        <w:rPr>
          <w:i w:val="1"/>
          <w:iCs w:val="1"/>
          <w:color w:val="595959" w:themeColor="text1" w:themeTint="A6" w:themeShade="FF"/>
          <w:sz w:val="18"/>
          <w:szCs w:val="18"/>
          <w:lang w:val="en-US"/>
        </w:rPr>
        <w:t>remainder</w:t>
      </w:r>
      <w:r w:rsidRPr="1A373B2C" w:rsidR="00000000">
        <w:rPr>
          <w:i w:val="1"/>
          <w:iCs w:val="1"/>
          <w:color w:val="595959" w:themeColor="text1" w:themeTint="A6" w:themeShade="FF"/>
          <w:sz w:val="18"/>
          <w:szCs w:val="18"/>
          <w:lang w:val="en-US"/>
        </w:rPr>
        <w:t xml:space="preserve"> (₦10,236bn) was absorbed within the existing revenue base.</w:t>
      </w:r>
    </w:p>
    <w:p w:rsidR="006D3AA0" w:rsidRDefault="00000000" w14:paraId="613D71B2" w14:textId="77777777">
      <w:pPr>
        <w:spacing w:after="40"/>
        <w:jc w:val="center"/>
      </w:pPr>
      <w:r>
        <w:rPr>
          <w:b/>
          <w:bCs/>
          <w:color w:val="1F3864"/>
          <w:sz w:val="26"/>
          <w:szCs w:val="26"/>
        </w:rPr>
        <w:t>Appendix 1 — Nigeria Economic Reform Scorecard</w:t>
      </w:r>
    </w:p>
    <w:p w:rsidR="006D3AA0" w:rsidRDefault="00000000" w14:paraId="0D3F9228" w14:textId="77777777">
      <w:pPr>
        <w:spacing w:after="100"/>
        <w:jc w:val="center"/>
      </w:pPr>
      <w:r>
        <w:rPr>
          <w:i/>
          <w:iCs/>
          <w:color w:val="595959"/>
          <w:sz w:val="18"/>
          <w:szCs w:val="18"/>
        </w:rPr>
        <w:t>Gains, Costs &amp; Harms Prevented</w:t>
      </w:r>
    </w:p>
    <w:p w:rsidR="006D3AA0" w:rsidRDefault="00000000" w14:paraId="5AD6CFDD" w14:textId="77777777">
      <w:pPr>
        <w:spacing w:after="150"/>
        <w:jc w:val="center"/>
      </w:pPr>
      <w:r w:rsidRPr="1A373B2C" w:rsidR="00000000">
        <w:rPr>
          <w:i w:val="1"/>
          <w:iCs w:val="1"/>
          <w:color w:val="404040" w:themeColor="text1" w:themeTint="BF" w:themeShade="FF"/>
          <w:sz w:val="13"/>
          <w:szCs w:val="13"/>
          <w:lang w:val="en-US"/>
        </w:rPr>
        <w:t>Fiscal sustainability: substantially improved  |  External stability: substantially improved  |  Investor confidence: significantly improved, FDI rising  |  Growth: improving, needs to accelerate  |  Household welfare: weak, beginning to improve</w:t>
      </w:r>
    </w:p>
    <w:p w:rsidR="006D3AA0" w:rsidP="00210B82" w:rsidRDefault="00000000" w14:paraId="7DF12820" w14:textId="77777777">
      <w:pPr>
        <w:spacing w:before="90" w:after="30"/>
        <w:jc w:val="center"/>
      </w:pPr>
      <w:r w:rsidRPr="1A373B2C" w:rsidR="00000000">
        <w:rPr>
          <w:b w:val="1"/>
          <w:bCs w:val="1"/>
          <w:color w:val="1F3864"/>
          <w:sz w:val="16"/>
          <w:szCs w:val="16"/>
          <w:lang w:val="en-US"/>
        </w:rPr>
        <w:t>1. Fiscal Sustainability</w:t>
      </w:r>
      <w:r w:rsidRPr="1A373B2C" w:rsidR="00000000">
        <w:rPr>
          <w:i w:val="1"/>
          <w:iCs w:val="1"/>
          <w:color w:val="595959" w:themeColor="text1" w:themeTint="A6" w:themeShade="FF"/>
          <w:sz w:val="12"/>
          <w:szCs w:val="12"/>
          <w:lang w:val="en-US"/>
        </w:rPr>
        <w:t xml:space="preserve">  —  fiscal capacity, debt burden, revenue mobilisation &amp; discipline</w:t>
      </w:r>
    </w:p>
    <w:tbl>
      <w:tblPr>
        <w:tblW w:w="8900" w:type="dxa"/>
        <w:jc w:val="lef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1650"/>
        <w:gridCol w:w="1650"/>
        <w:gridCol w:w="1650"/>
        <w:gridCol w:w="1650"/>
      </w:tblGrid>
      <w:tr w:rsidR="006D3AA0" w:rsidTr="1A373B2C" w14:paraId="17CC383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3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1F386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279D4179" w14:textId="77777777">
            <w:r>
              <w:rPr>
                <w:b/>
                <w:bCs/>
                <w:color w:val="FFFFFF"/>
                <w:sz w:val="13"/>
                <w:szCs w:val="13"/>
              </w:rPr>
              <w:t>Indicator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1F386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56E57D5F" w14:textId="77777777">
            <w:r>
              <w:rPr>
                <w:b/>
                <w:bCs/>
                <w:color w:val="FFFFFF"/>
                <w:sz w:val="13"/>
                <w:szCs w:val="13"/>
              </w:rPr>
              <w:t>Baseline (May '23)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1F386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3D078B1D" w14:textId="77777777">
            <w:r>
              <w:rPr>
                <w:b/>
                <w:bCs/>
                <w:color w:val="FFFFFF"/>
                <w:sz w:val="13"/>
                <w:szCs w:val="13"/>
              </w:rPr>
              <w:t>Current Position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1F386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6570BD10" w14:textId="77777777">
            <w:r>
              <w:rPr>
                <w:b/>
                <w:bCs/>
                <w:color w:val="FFFFFF"/>
                <w:sz w:val="13"/>
                <w:szCs w:val="13"/>
              </w:rPr>
              <w:t>No-Reform '26 Est.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1F386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3111ED60" w14:textId="77777777">
            <w:r>
              <w:rPr>
                <w:b/>
                <w:bCs/>
                <w:color w:val="FFFFFF"/>
                <w:sz w:val="13"/>
                <w:szCs w:val="13"/>
              </w:rPr>
              <w:t>Assessment</w:t>
            </w:r>
          </w:p>
        </w:tc>
      </w:tr>
      <w:tr w:rsidR="006D3AA0" w:rsidTr="1A373B2C" w14:paraId="728F5A42" w14:textId="77777777">
        <w:tblPrEx>
          <w:tblCellMar>
            <w:top w:w="0" w:type="dxa"/>
            <w:bottom w:w="0" w:type="dxa"/>
          </w:tblCellMar>
        </w:tblPrEx>
        <w:trPr/>
        <w:tc>
          <w:tcPr>
            <w:tcW w:w="23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2F2F2" w:themeFill="background1" w:themeFillShade="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1094921C" w14:textId="77777777">
            <w:r>
              <w:rPr>
                <w:b/>
                <w:bCs/>
                <w:sz w:val="13"/>
                <w:szCs w:val="13"/>
              </w:rPr>
              <w:t>Debt Service / Revenue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2EB5FBA3" w14:textId="77777777">
            <w:r>
              <w:rPr>
                <w:sz w:val="13"/>
                <w:szCs w:val="13"/>
              </w:rPr>
              <w:t>~100% (2022)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1683704A" w14:textId="77777777">
            <w:r w:rsidRPr="1A373B2C" w:rsidR="00000000">
              <w:rPr>
                <w:sz w:val="13"/>
                <w:szCs w:val="13"/>
                <w:lang w:val="en-US"/>
              </w:rPr>
              <w:t>~50% (2026 proj.)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4B7772B7" w14:textId="77777777">
            <w:r>
              <w:rPr>
                <w:sz w:val="13"/>
                <w:szCs w:val="13"/>
              </w:rPr>
              <w:t>100–200%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4078BA49" w14:textId="77777777">
            <w:r>
              <w:rPr>
                <w:sz w:val="13"/>
                <w:szCs w:val="13"/>
              </w:rPr>
              <w:t>🟢 Major improvement</w:t>
            </w:r>
          </w:p>
        </w:tc>
      </w:tr>
      <w:tr w:rsidR="006D3AA0" w:rsidTr="1A373B2C" w14:paraId="147A1241" w14:textId="77777777">
        <w:tblPrEx>
          <w:tblCellMar>
            <w:top w:w="0" w:type="dxa"/>
            <w:bottom w:w="0" w:type="dxa"/>
          </w:tblCellMar>
        </w:tblPrEx>
        <w:trPr/>
        <w:tc>
          <w:tcPr>
            <w:tcW w:w="23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2F2F2" w:themeFill="background1" w:themeFillShade="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00868AB8" w14:textId="77777777">
            <w:r>
              <w:rPr>
                <w:b/>
                <w:bCs/>
                <w:sz w:val="13"/>
                <w:szCs w:val="13"/>
              </w:rPr>
              <w:t>Tax-to-GDP Ratio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4484682B" w14:textId="77777777">
            <w:r>
              <w:rPr>
                <w:sz w:val="13"/>
                <w:szCs w:val="13"/>
              </w:rPr>
              <w:t>&lt;10%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269D23B9" w14:textId="77777777">
            <w:r>
              <w:rPr>
                <w:sz w:val="13"/>
                <w:szCs w:val="13"/>
              </w:rPr>
              <w:t>~12.5%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757036F0" w14:textId="77777777">
            <w:r>
              <w:rPr>
                <w:sz w:val="13"/>
                <w:szCs w:val="13"/>
              </w:rPr>
              <w:t>~6%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6CF88102" w14:textId="77777777">
            <w:r>
              <w:rPr>
                <w:sz w:val="13"/>
                <w:szCs w:val="13"/>
              </w:rPr>
              <w:t>🟢 Gains in growth phase</w:t>
            </w:r>
          </w:p>
        </w:tc>
      </w:tr>
      <w:tr w:rsidR="006D3AA0" w:rsidTr="1A373B2C" w14:paraId="39419296" w14:textId="77777777">
        <w:tblPrEx>
          <w:tblCellMar>
            <w:top w:w="0" w:type="dxa"/>
            <w:bottom w:w="0" w:type="dxa"/>
          </w:tblCellMar>
        </w:tblPrEx>
        <w:trPr/>
        <w:tc>
          <w:tcPr>
            <w:tcW w:w="23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2F2F2" w:themeFill="background1" w:themeFillShade="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2A1B0A14" w14:textId="77777777">
            <w:r>
              <w:rPr>
                <w:b/>
                <w:bCs/>
                <w:sz w:val="13"/>
                <w:szCs w:val="13"/>
              </w:rPr>
              <w:t>States Unable to Pay Salaries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6A5E5929" w14:textId="77777777">
            <w:r>
              <w:rPr>
                <w:sz w:val="13"/>
                <w:szCs w:val="13"/>
              </w:rPr>
              <w:t>27 States (2023)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408F6711" w14:textId="77777777">
            <w:r>
              <w:rPr>
                <w:sz w:val="13"/>
                <w:szCs w:val="13"/>
              </w:rPr>
              <w:t>0 States (2026)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5871C39A" w14:textId="77777777">
            <w:r>
              <w:rPr>
                <w:sz w:val="13"/>
                <w:szCs w:val="13"/>
              </w:rPr>
              <w:t>At least 30 States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1F69CF47" w14:textId="77777777">
            <w:r>
              <w:rPr>
                <w:sz w:val="13"/>
                <w:szCs w:val="13"/>
              </w:rPr>
              <w:t>🟢 Bankruptcy prevented</w:t>
            </w:r>
          </w:p>
        </w:tc>
      </w:tr>
      <w:tr w:rsidR="006D3AA0" w:rsidTr="1A373B2C" w14:paraId="3591D14D" w14:textId="77777777">
        <w:tblPrEx>
          <w:tblCellMar>
            <w:top w:w="0" w:type="dxa"/>
            <w:bottom w:w="0" w:type="dxa"/>
          </w:tblCellMar>
        </w:tblPrEx>
        <w:trPr/>
        <w:tc>
          <w:tcPr>
            <w:tcW w:w="23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2F2F2" w:themeFill="background1" w:themeFillShade="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23A15C63" w14:textId="77777777">
            <w:r>
              <w:rPr>
                <w:b/>
                <w:bCs/>
                <w:sz w:val="13"/>
                <w:szCs w:val="13"/>
              </w:rPr>
              <w:t>Ways &amp; Means / Monetary Financing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0061F7EB" w14:textId="77777777">
            <w:r>
              <w:rPr>
                <w:sz w:val="13"/>
                <w:szCs w:val="13"/>
              </w:rPr>
              <w:t>₦30tn legacy stock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49709D74" w14:textId="77777777">
            <w:r>
              <w:rPr>
                <w:sz w:val="13"/>
                <w:szCs w:val="13"/>
              </w:rPr>
              <w:t>Curtailed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005555FE" w14:textId="77777777">
            <w:r>
              <w:rPr>
                <w:sz w:val="13"/>
                <w:szCs w:val="13"/>
              </w:rPr>
              <w:t>At least ₦60tn and rising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64D0B3E2" w14:textId="77777777">
            <w:r>
              <w:rPr>
                <w:sz w:val="13"/>
                <w:szCs w:val="13"/>
              </w:rPr>
              <w:t>🟢 Structural improvement</w:t>
            </w:r>
          </w:p>
        </w:tc>
      </w:tr>
      <w:tr w:rsidR="006D3AA0" w:rsidTr="1A373B2C" w14:paraId="28F591A9" w14:textId="77777777">
        <w:tblPrEx>
          <w:tblCellMar>
            <w:top w:w="0" w:type="dxa"/>
            <w:bottom w:w="0" w:type="dxa"/>
          </w:tblCellMar>
        </w:tblPrEx>
        <w:trPr/>
        <w:tc>
          <w:tcPr>
            <w:tcW w:w="23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2F2F2" w:themeFill="background1" w:themeFillShade="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361743ED" w14:textId="77777777">
            <w:r>
              <w:rPr>
                <w:b/>
                <w:bCs/>
                <w:sz w:val="13"/>
                <w:szCs w:val="13"/>
              </w:rPr>
              <w:t>Sovereign Credit Rating (S&amp;P)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3595A37B" w14:textId="77777777">
            <w:r>
              <w:rPr>
                <w:sz w:val="13"/>
                <w:szCs w:val="13"/>
              </w:rPr>
              <w:t>B−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48AD6AFE" w14:textId="77777777">
            <w:r>
              <w:rPr>
                <w:sz w:val="13"/>
                <w:szCs w:val="13"/>
              </w:rPr>
              <w:t>B / Stable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3FEE6CCA" w14:textId="77777777">
            <w:r>
              <w:rPr>
                <w:sz w:val="13"/>
                <w:szCs w:val="13"/>
              </w:rPr>
              <w:t>CCC risk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38D0450B" w14:textId="77777777">
            <w:r>
              <w:rPr>
                <w:sz w:val="13"/>
                <w:szCs w:val="13"/>
              </w:rPr>
              <w:t>🟢 Upgraded</w:t>
            </w:r>
          </w:p>
        </w:tc>
      </w:tr>
    </w:tbl>
    <w:p w:rsidR="006D3AA0" w:rsidP="00210B82" w:rsidRDefault="00000000" w14:paraId="6FE1D1FD" w14:textId="77777777">
      <w:pPr>
        <w:spacing w:before="90" w:after="30"/>
        <w:jc w:val="center"/>
      </w:pPr>
      <w:r w:rsidRPr="1A373B2C" w:rsidR="00000000">
        <w:rPr>
          <w:b w:val="1"/>
          <w:bCs w:val="1"/>
          <w:color w:val="1F3864"/>
          <w:sz w:val="16"/>
          <w:szCs w:val="16"/>
          <w:lang w:val="en-US"/>
        </w:rPr>
        <w:t>2. External Stability</w:t>
      </w:r>
      <w:r w:rsidRPr="1A373B2C" w:rsidR="00000000">
        <w:rPr>
          <w:i w:val="1"/>
          <w:iCs w:val="1"/>
          <w:color w:val="595959" w:themeColor="text1" w:themeTint="A6" w:themeShade="FF"/>
          <w:sz w:val="12"/>
          <w:szCs w:val="12"/>
          <w:lang w:val="en-US"/>
        </w:rPr>
        <w:t xml:space="preserve">  —  external buffers, currency stability, external-sector credibility</w:t>
      </w:r>
    </w:p>
    <w:tbl>
      <w:tblPr>
        <w:tblW w:w="8900" w:type="dxa"/>
        <w:jc w:val="lef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1650"/>
        <w:gridCol w:w="1650"/>
        <w:gridCol w:w="1650"/>
        <w:gridCol w:w="1650"/>
      </w:tblGrid>
      <w:tr w:rsidR="006D3AA0" w:rsidTr="1A373B2C" w14:paraId="6873871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3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1F386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4541CFB2" w14:textId="77777777">
            <w:r>
              <w:rPr>
                <w:b/>
                <w:bCs/>
                <w:color w:val="FFFFFF"/>
                <w:sz w:val="13"/>
                <w:szCs w:val="13"/>
              </w:rPr>
              <w:t>Indicator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1F386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08C9B204" w14:textId="77777777">
            <w:r>
              <w:rPr>
                <w:b/>
                <w:bCs/>
                <w:color w:val="FFFFFF"/>
                <w:sz w:val="13"/>
                <w:szCs w:val="13"/>
              </w:rPr>
              <w:t>Baseline (May '23)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1F386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3CBEE878" w14:textId="77777777">
            <w:r>
              <w:rPr>
                <w:b/>
                <w:bCs/>
                <w:color w:val="FFFFFF"/>
                <w:sz w:val="13"/>
                <w:szCs w:val="13"/>
              </w:rPr>
              <w:t>Current Position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1F386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02E91319" w14:textId="77777777">
            <w:r>
              <w:rPr>
                <w:b/>
                <w:bCs/>
                <w:color w:val="FFFFFF"/>
                <w:sz w:val="13"/>
                <w:szCs w:val="13"/>
              </w:rPr>
              <w:t>No-Reform '26 Est.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1F386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428E4ED8" w14:textId="77777777">
            <w:r>
              <w:rPr>
                <w:b/>
                <w:bCs/>
                <w:color w:val="FFFFFF"/>
                <w:sz w:val="13"/>
                <w:szCs w:val="13"/>
              </w:rPr>
              <w:t>Assessment</w:t>
            </w:r>
          </w:p>
        </w:tc>
      </w:tr>
      <w:tr w:rsidR="006D3AA0" w:rsidTr="1A373B2C" w14:paraId="50A14B69" w14:textId="77777777">
        <w:tblPrEx>
          <w:tblCellMar>
            <w:top w:w="0" w:type="dxa"/>
            <w:bottom w:w="0" w:type="dxa"/>
          </w:tblCellMar>
        </w:tblPrEx>
        <w:trPr/>
        <w:tc>
          <w:tcPr>
            <w:tcW w:w="23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2F2F2" w:themeFill="background1" w:themeFillShade="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331361CA" w14:textId="77777777">
            <w:r>
              <w:rPr>
                <w:b/>
                <w:bCs/>
                <w:sz w:val="13"/>
                <w:szCs w:val="13"/>
              </w:rPr>
              <w:t>Gross FX Reserves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099B5EB3" w14:textId="77777777">
            <w:r>
              <w:rPr>
                <w:sz w:val="13"/>
                <w:szCs w:val="13"/>
              </w:rPr>
              <w:t>~$35bn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288CA41D" w14:textId="77777777">
            <w:r>
              <w:rPr>
                <w:sz w:val="13"/>
                <w:szCs w:val="13"/>
              </w:rPr>
              <w:t>$52.5bn (Jul 2026)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3680B105" w14:textId="77777777">
            <w:r>
              <w:rPr>
                <w:sz w:val="13"/>
                <w:szCs w:val="13"/>
              </w:rPr>
              <w:t>$15–25bn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0213E769" w14:textId="77777777">
            <w:r>
              <w:rPr>
                <w:sz w:val="13"/>
                <w:szCs w:val="13"/>
              </w:rPr>
              <w:t>🟢 Major improvement</w:t>
            </w:r>
          </w:p>
        </w:tc>
      </w:tr>
      <w:tr w:rsidR="006D3AA0" w:rsidTr="1A373B2C" w14:paraId="473F0FB4" w14:textId="77777777">
        <w:tblPrEx>
          <w:tblCellMar>
            <w:top w:w="0" w:type="dxa"/>
            <w:bottom w:w="0" w:type="dxa"/>
          </w:tblCellMar>
        </w:tblPrEx>
        <w:trPr/>
        <w:tc>
          <w:tcPr>
            <w:tcW w:w="23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2F2F2" w:themeFill="background1" w:themeFillShade="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56D6D1B0" w14:textId="77777777">
            <w:r>
              <w:rPr>
                <w:b/>
                <w:bCs/>
                <w:sz w:val="13"/>
                <w:szCs w:val="13"/>
              </w:rPr>
              <w:t>Net FX Reserves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0A3735EA" w14:textId="77777777">
            <w:r>
              <w:rPr>
                <w:sz w:val="13"/>
                <w:szCs w:val="13"/>
              </w:rPr>
              <w:t>~$3.0bn (2023)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031C17D8" w14:textId="77777777">
            <w:r>
              <w:rPr>
                <w:sz w:val="13"/>
                <w:szCs w:val="13"/>
              </w:rPr>
              <w:t>$34.8bn (end-2025)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67CB7808" w14:textId="77777777">
            <w:r>
              <w:rPr>
                <w:sz w:val="13"/>
                <w:szCs w:val="13"/>
              </w:rPr>
              <w:t>Near zero / negative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03C8BE74" w14:textId="77777777">
            <w:r>
              <w:rPr>
                <w:sz w:val="13"/>
                <w:szCs w:val="13"/>
              </w:rPr>
              <w:t>🟢 Major improvement</w:t>
            </w:r>
          </w:p>
        </w:tc>
      </w:tr>
      <w:tr w:rsidR="006D3AA0" w:rsidTr="1A373B2C" w14:paraId="369FC21E" w14:textId="77777777">
        <w:tblPrEx>
          <w:tblCellMar>
            <w:top w:w="0" w:type="dxa"/>
            <w:bottom w:w="0" w:type="dxa"/>
          </w:tblCellMar>
        </w:tblPrEx>
        <w:trPr/>
        <w:tc>
          <w:tcPr>
            <w:tcW w:w="23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2F2F2" w:themeFill="background1" w:themeFillShade="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594A42A2" w14:textId="77777777">
            <w:r>
              <w:rPr>
                <w:b/>
                <w:bCs/>
                <w:sz w:val="13"/>
                <w:szCs w:val="13"/>
              </w:rPr>
              <w:t>Official Exchange Rate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10EB1D51" w14:textId="77777777">
            <w:r>
              <w:rPr>
                <w:sz w:val="13"/>
                <w:szCs w:val="13"/>
              </w:rPr>
              <w:t>~₦460/$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26D06573" w14:textId="77777777">
            <w:r>
              <w:rPr>
                <w:sz w:val="13"/>
                <w:szCs w:val="13"/>
              </w:rPr>
              <w:t>~₦1,358/$ (Aug 2026)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23D0A906" w14:textId="77777777">
            <w:r>
              <w:rPr>
                <w:sz w:val="13"/>
                <w:szCs w:val="13"/>
              </w:rPr>
              <w:t>₦550–800/$ but unavailable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16F10028" w14:textId="77777777">
            <w:r>
              <w:rPr>
                <w:sz w:val="13"/>
                <w:szCs w:val="13"/>
              </w:rPr>
              <w:t>🟡 Structural improvement</w:t>
            </w:r>
          </w:p>
        </w:tc>
      </w:tr>
      <w:tr w:rsidR="006D3AA0" w:rsidTr="1A373B2C" w14:paraId="33846BBA" w14:textId="77777777">
        <w:tblPrEx>
          <w:tblCellMar>
            <w:top w:w="0" w:type="dxa"/>
            <w:bottom w:w="0" w:type="dxa"/>
          </w:tblCellMar>
        </w:tblPrEx>
        <w:trPr/>
        <w:tc>
          <w:tcPr>
            <w:tcW w:w="23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2F2F2" w:themeFill="background1" w:themeFillShade="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29E6CC98" w14:textId="77777777">
            <w:r>
              <w:rPr>
                <w:b/>
                <w:bCs/>
                <w:sz w:val="13"/>
                <w:szCs w:val="13"/>
              </w:rPr>
              <w:t>Official/Parallel FX Premium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1643B8F1" w14:textId="77777777">
            <w:r>
              <w:rPr>
                <w:sz w:val="13"/>
                <w:szCs w:val="13"/>
              </w:rPr>
              <w:t>~60%+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3F1AA13C" w14:textId="77777777">
            <w:r>
              <w:rPr>
                <w:sz w:val="13"/>
                <w:szCs w:val="13"/>
              </w:rPr>
              <w:t>&lt;5%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7BA850A9" w14:textId="77777777">
            <w:r>
              <w:rPr>
                <w:sz w:val="13"/>
                <w:szCs w:val="13"/>
              </w:rPr>
              <w:t>150–200%+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032B69BF" w14:textId="77777777">
            <w:r w:rsidRPr="1A373B2C" w:rsidR="00000000">
              <w:rPr>
                <w:sz w:val="13"/>
                <w:szCs w:val="13"/>
                <w:lang w:val="en-US"/>
              </w:rPr>
              <w:t>🟢 Major normalisation</w:t>
            </w:r>
          </w:p>
        </w:tc>
      </w:tr>
      <w:tr w:rsidR="006D3AA0" w:rsidTr="1A373B2C" w14:paraId="46B7FA16" w14:textId="77777777">
        <w:tblPrEx>
          <w:tblCellMar>
            <w:top w:w="0" w:type="dxa"/>
            <w:bottom w:w="0" w:type="dxa"/>
          </w:tblCellMar>
        </w:tblPrEx>
        <w:trPr/>
        <w:tc>
          <w:tcPr>
            <w:tcW w:w="23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2F2F2" w:themeFill="background1" w:themeFillShade="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7A257FE8" w14:textId="77777777">
            <w:r>
              <w:rPr>
                <w:b/>
                <w:bCs/>
                <w:sz w:val="13"/>
                <w:szCs w:val="13"/>
              </w:rPr>
              <w:t>Current Account Balance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0BA8E71D" w14:textId="77777777">
            <w:r>
              <w:rPr>
                <w:sz w:val="13"/>
                <w:szCs w:val="13"/>
              </w:rPr>
              <w:t>$1.21bn surplus (2023)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69B6F25D" w14:textId="77777777">
            <w:r>
              <w:rPr>
                <w:sz w:val="13"/>
                <w:szCs w:val="13"/>
              </w:rPr>
              <w:t>$14.04bn surplus (2025)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2A7CC7C8" w14:textId="77777777">
            <w:r>
              <w:rPr>
                <w:sz w:val="13"/>
                <w:szCs w:val="13"/>
              </w:rPr>
              <w:t>$2bn to $5bn deficit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10091003" w14:textId="77777777">
            <w:r>
              <w:rPr>
                <w:sz w:val="13"/>
                <w:szCs w:val="13"/>
              </w:rPr>
              <w:t>🟢 Much stronger balance</w:t>
            </w:r>
          </w:p>
        </w:tc>
      </w:tr>
    </w:tbl>
    <w:p w:rsidR="006D3AA0" w:rsidP="00210B82" w:rsidRDefault="00000000" w14:paraId="1B020446" w14:textId="77777777">
      <w:pPr>
        <w:spacing w:before="90" w:after="30"/>
        <w:jc w:val="center"/>
      </w:pPr>
      <w:r w:rsidRPr="1A373B2C" w:rsidR="00000000">
        <w:rPr>
          <w:b w:val="1"/>
          <w:bCs w:val="1"/>
          <w:color w:val="1F3864"/>
          <w:sz w:val="16"/>
          <w:szCs w:val="16"/>
          <w:lang w:val="en-US"/>
        </w:rPr>
        <w:t>3. Investment Climate</w:t>
      </w:r>
      <w:r w:rsidRPr="1A373B2C" w:rsidR="00000000">
        <w:rPr>
          <w:i w:val="1"/>
          <w:iCs w:val="1"/>
          <w:color w:val="595959" w:themeColor="text1" w:themeTint="A6" w:themeShade="FF"/>
          <w:sz w:val="12"/>
          <w:szCs w:val="12"/>
          <w:lang w:val="en-US"/>
        </w:rPr>
        <w:t xml:space="preserve">  —  financial conditions, investor confidence, capital markets</w:t>
      </w:r>
    </w:p>
    <w:tbl>
      <w:tblPr>
        <w:tblW w:w="8900" w:type="dxa"/>
        <w:jc w:val="lef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1650"/>
        <w:gridCol w:w="1650"/>
        <w:gridCol w:w="1650"/>
        <w:gridCol w:w="1650"/>
      </w:tblGrid>
      <w:tr w:rsidR="006D3AA0" w:rsidTr="1A373B2C" w14:paraId="357EE5B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3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1F386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376AA295" w14:textId="77777777">
            <w:r>
              <w:rPr>
                <w:b/>
                <w:bCs/>
                <w:color w:val="FFFFFF"/>
                <w:sz w:val="13"/>
                <w:szCs w:val="13"/>
              </w:rPr>
              <w:t>Indicator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1F386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10EC0DF7" w14:textId="77777777">
            <w:r>
              <w:rPr>
                <w:b/>
                <w:bCs/>
                <w:color w:val="FFFFFF"/>
                <w:sz w:val="13"/>
                <w:szCs w:val="13"/>
              </w:rPr>
              <w:t>Baseline (May '23)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1F386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4AE07C6B" w14:textId="77777777">
            <w:r>
              <w:rPr>
                <w:b/>
                <w:bCs/>
                <w:color w:val="FFFFFF"/>
                <w:sz w:val="13"/>
                <w:szCs w:val="13"/>
              </w:rPr>
              <w:t>Current Position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1F386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2111FDD9" w14:textId="77777777">
            <w:r>
              <w:rPr>
                <w:b/>
                <w:bCs/>
                <w:color w:val="FFFFFF"/>
                <w:sz w:val="13"/>
                <w:szCs w:val="13"/>
              </w:rPr>
              <w:t>No-Reform '26 Est.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1F386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4A4433AA" w14:textId="77777777">
            <w:r>
              <w:rPr>
                <w:b/>
                <w:bCs/>
                <w:color w:val="FFFFFF"/>
                <w:sz w:val="13"/>
                <w:szCs w:val="13"/>
              </w:rPr>
              <w:t>Assessment</w:t>
            </w:r>
          </w:p>
        </w:tc>
      </w:tr>
      <w:tr w:rsidR="006D3AA0" w:rsidTr="1A373B2C" w14:paraId="1C4EC80D" w14:textId="77777777">
        <w:tblPrEx>
          <w:tblCellMar>
            <w:top w:w="0" w:type="dxa"/>
            <w:bottom w:w="0" w:type="dxa"/>
          </w:tblCellMar>
        </w:tblPrEx>
        <w:trPr/>
        <w:tc>
          <w:tcPr>
            <w:tcW w:w="23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2F2F2" w:themeFill="background1" w:themeFillShade="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603E5E1D" w14:textId="77777777">
            <w:r>
              <w:rPr>
                <w:b/>
                <w:bCs/>
                <w:sz w:val="13"/>
                <w:szCs w:val="13"/>
              </w:rPr>
              <w:t>Total Capital Importation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53AD5BD2" w14:textId="77777777">
            <w:r>
              <w:rPr>
                <w:sz w:val="13"/>
                <w:szCs w:val="13"/>
              </w:rPr>
              <w:t>$1.13bn (Q1-2023)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3CA86699" w14:textId="77777777">
            <w:r>
              <w:rPr>
                <w:sz w:val="13"/>
                <w:szCs w:val="13"/>
              </w:rPr>
              <w:t>$10.37bn (Q1-2026)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2374D739" w14:textId="77777777">
            <w:r>
              <w:rPr>
                <w:sz w:val="13"/>
                <w:szCs w:val="13"/>
              </w:rPr>
              <w:t>$1–3bn/quarter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54715ECD" w14:textId="77777777">
            <w:r>
              <w:rPr>
                <w:sz w:val="13"/>
                <w:szCs w:val="13"/>
              </w:rPr>
              <w:t>🟢 Very strong recovery</w:t>
            </w:r>
          </w:p>
        </w:tc>
      </w:tr>
      <w:tr w:rsidR="006D3AA0" w:rsidTr="1A373B2C" w14:paraId="5DD9A87E" w14:textId="77777777">
        <w:tblPrEx>
          <w:tblCellMar>
            <w:top w:w="0" w:type="dxa"/>
            <w:bottom w:w="0" w:type="dxa"/>
          </w:tblCellMar>
        </w:tblPrEx>
        <w:trPr/>
        <w:tc>
          <w:tcPr>
            <w:tcW w:w="23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2F2F2" w:themeFill="background1" w:themeFillShade="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155D4B94" w14:textId="77777777">
            <w:r>
              <w:rPr>
                <w:b/>
                <w:bCs/>
                <w:sz w:val="13"/>
                <w:szCs w:val="13"/>
              </w:rPr>
              <w:t>FDI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372930BA" w14:textId="77777777">
            <w:r>
              <w:rPr>
                <w:sz w:val="13"/>
                <w:szCs w:val="13"/>
              </w:rPr>
              <w:t>$895m (2022)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423F1FBE" w14:textId="77777777">
            <w:r>
              <w:rPr>
                <w:sz w:val="13"/>
                <w:szCs w:val="13"/>
              </w:rPr>
              <w:t>$4.01bn (2025)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0AB1A381" w14:textId="77777777">
            <w:r>
              <w:rPr>
                <w:sz w:val="13"/>
                <w:szCs w:val="13"/>
              </w:rPr>
              <w:t>&lt;$500m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5BDA396B" w14:textId="77777777">
            <w:r>
              <w:rPr>
                <w:sz w:val="13"/>
                <w:szCs w:val="13"/>
              </w:rPr>
              <w:t>🟡 Better, growing stronger</w:t>
            </w:r>
          </w:p>
        </w:tc>
      </w:tr>
      <w:tr w:rsidR="006D3AA0" w:rsidTr="1A373B2C" w14:paraId="6B7DD820" w14:textId="77777777">
        <w:tblPrEx>
          <w:tblCellMar>
            <w:top w:w="0" w:type="dxa"/>
            <w:bottom w:w="0" w:type="dxa"/>
          </w:tblCellMar>
        </w:tblPrEx>
        <w:trPr/>
        <w:tc>
          <w:tcPr>
            <w:tcW w:w="23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2F2F2" w:themeFill="background1" w:themeFillShade="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0221D5D3" w14:textId="77777777">
            <w:r w:rsidRPr="1A373B2C" w:rsidR="00000000">
              <w:rPr>
                <w:b w:val="1"/>
                <w:bCs w:val="1"/>
                <w:sz w:val="13"/>
                <w:szCs w:val="13"/>
                <w:lang w:val="en-US"/>
              </w:rPr>
              <w:t>Stock Market Capitalisation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6714B047" w14:textId="77777777">
            <w:r>
              <w:rPr>
                <w:sz w:val="13"/>
                <w:szCs w:val="13"/>
              </w:rPr>
              <w:t>~₦31tn (May-2023)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1FBB8F94" w14:textId="77777777">
            <w:r>
              <w:rPr>
                <w:sz w:val="13"/>
                <w:szCs w:val="13"/>
              </w:rPr>
              <w:t>~₦150tn (June-2026)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797FEDF0" w14:textId="77777777">
            <w:r>
              <w:rPr>
                <w:sz w:val="13"/>
                <w:szCs w:val="13"/>
              </w:rPr>
              <w:t>&lt;₦30tn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3BD813D6" w14:textId="77777777">
            <w:r>
              <w:rPr>
                <w:sz w:val="13"/>
                <w:szCs w:val="13"/>
              </w:rPr>
              <w:t>🟢 Very strong recovery</w:t>
            </w:r>
          </w:p>
        </w:tc>
      </w:tr>
      <w:tr w:rsidR="006D3AA0" w:rsidTr="1A373B2C" w14:paraId="1D9E343B" w14:textId="77777777">
        <w:tblPrEx>
          <w:tblCellMar>
            <w:top w:w="0" w:type="dxa"/>
            <w:bottom w:w="0" w:type="dxa"/>
          </w:tblCellMar>
        </w:tblPrEx>
        <w:trPr/>
        <w:tc>
          <w:tcPr>
            <w:tcW w:w="23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2F2F2" w:themeFill="background1" w:themeFillShade="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55D9263B" w14:textId="77777777">
            <w:r>
              <w:rPr>
                <w:b/>
                <w:bCs/>
                <w:sz w:val="13"/>
                <w:szCs w:val="13"/>
              </w:rPr>
              <w:t>Monetary Policy Rate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069C80C6" w14:textId="77777777">
            <w:r>
              <w:rPr>
                <w:sz w:val="13"/>
                <w:szCs w:val="13"/>
              </w:rPr>
              <w:t>18.5%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3D04EF84" w14:textId="77777777">
            <w:r>
              <w:rPr>
                <w:sz w:val="13"/>
                <w:szCs w:val="13"/>
              </w:rPr>
              <w:t>26.5%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01656EA7" w14:textId="77777777">
            <w:r>
              <w:rPr>
                <w:sz w:val="13"/>
                <w:szCs w:val="13"/>
              </w:rPr>
              <w:t>&gt;35%+ under crisis adj.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2B52AC06" w14:textId="77777777">
            <w:r w:rsidRPr="1A373B2C" w:rsidR="00000000">
              <w:rPr>
                <w:sz w:val="13"/>
                <w:szCs w:val="13"/>
                <w:lang w:val="en-US"/>
              </w:rPr>
              <w:t>🟡 Cost of stabilisation</w:t>
            </w:r>
          </w:p>
        </w:tc>
      </w:tr>
      <w:tr w:rsidR="006D3AA0" w:rsidTr="1A373B2C" w14:paraId="762D2AE8" w14:textId="77777777">
        <w:tblPrEx>
          <w:tblCellMar>
            <w:top w:w="0" w:type="dxa"/>
            <w:bottom w:w="0" w:type="dxa"/>
          </w:tblCellMar>
        </w:tblPrEx>
        <w:trPr/>
        <w:tc>
          <w:tcPr>
            <w:tcW w:w="23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2F2F2" w:themeFill="background1" w:themeFillShade="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59467670" w14:textId="77777777">
            <w:r>
              <w:rPr>
                <w:b/>
                <w:bCs/>
                <w:sz w:val="13"/>
                <w:szCs w:val="13"/>
              </w:rPr>
              <w:t>Sovereign Eurobond Yield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7F3A9551" w14:textId="77777777">
            <w:r>
              <w:rPr>
                <w:sz w:val="13"/>
                <w:szCs w:val="13"/>
              </w:rPr>
              <w:t>~10 to 13%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057F38DE" w14:textId="77777777">
            <w:r>
              <w:rPr>
                <w:sz w:val="13"/>
                <w:szCs w:val="13"/>
              </w:rPr>
              <w:t>~7–8% (mid-2026)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7CB55A76" w14:textId="77777777">
            <w:r>
              <w:rPr>
                <w:sz w:val="13"/>
                <w:szCs w:val="13"/>
              </w:rPr>
              <w:t>12–18% / impaired access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545C5B73" w14:textId="77777777">
            <w:r>
              <w:rPr>
                <w:sz w:val="13"/>
                <w:szCs w:val="13"/>
              </w:rPr>
              <w:t>🟢 Improved</w:t>
            </w:r>
          </w:p>
        </w:tc>
      </w:tr>
    </w:tbl>
    <w:p w:rsidR="006D3AA0" w:rsidP="00210B82" w:rsidRDefault="00000000" w14:paraId="3DD40835" w14:textId="77777777">
      <w:pPr>
        <w:spacing w:before="90" w:after="30"/>
        <w:jc w:val="center"/>
      </w:pPr>
      <w:r w:rsidRPr="1A373B2C" w:rsidR="00000000">
        <w:rPr>
          <w:b w:val="1"/>
          <w:bCs w:val="1"/>
          <w:color w:val="1F3864"/>
          <w:sz w:val="16"/>
          <w:szCs w:val="16"/>
          <w:lang w:val="en-US"/>
        </w:rPr>
        <w:t>4. Social Impact</w:t>
      </w:r>
      <w:r w:rsidRPr="1A373B2C" w:rsidR="00000000">
        <w:rPr>
          <w:i w:val="1"/>
          <w:iCs w:val="1"/>
          <w:color w:val="595959" w:themeColor="text1" w:themeTint="A6" w:themeShade="FF"/>
          <w:sz w:val="12"/>
          <w:szCs w:val="12"/>
          <w:lang w:val="en-US"/>
        </w:rPr>
        <w:t xml:space="preserve">  —  how macro conditions translate into household welfare</w:t>
      </w:r>
    </w:p>
    <w:tbl>
      <w:tblPr>
        <w:tblW w:w="8900" w:type="dxa"/>
        <w:jc w:val="lef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1650"/>
        <w:gridCol w:w="1650"/>
        <w:gridCol w:w="1650"/>
        <w:gridCol w:w="1650"/>
      </w:tblGrid>
      <w:tr w:rsidR="006D3AA0" w:rsidTr="1A373B2C" w14:paraId="3815ADE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3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1F386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0A4BB1BF" w14:textId="77777777">
            <w:r>
              <w:rPr>
                <w:b/>
                <w:bCs/>
                <w:color w:val="FFFFFF"/>
                <w:sz w:val="13"/>
                <w:szCs w:val="13"/>
              </w:rPr>
              <w:t>Indicator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1F386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14EEB3B9" w14:textId="77777777">
            <w:r>
              <w:rPr>
                <w:b/>
                <w:bCs/>
                <w:color w:val="FFFFFF"/>
                <w:sz w:val="13"/>
                <w:szCs w:val="13"/>
              </w:rPr>
              <w:t>Baseline (May '23)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1F386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247170B0" w14:textId="77777777">
            <w:r>
              <w:rPr>
                <w:b/>
                <w:bCs/>
                <w:color w:val="FFFFFF"/>
                <w:sz w:val="13"/>
                <w:szCs w:val="13"/>
              </w:rPr>
              <w:t>Current Position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1F386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2EFCD76C" w14:textId="77777777">
            <w:r>
              <w:rPr>
                <w:b/>
                <w:bCs/>
                <w:color w:val="FFFFFF"/>
                <w:sz w:val="13"/>
                <w:szCs w:val="13"/>
              </w:rPr>
              <w:t>No-Reform '26 Est.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1F386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34E108A7" w14:textId="77777777">
            <w:r>
              <w:rPr>
                <w:b/>
                <w:bCs/>
                <w:color w:val="FFFFFF"/>
                <w:sz w:val="13"/>
                <w:szCs w:val="13"/>
              </w:rPr>
              <w:t>Assessment</w:t>
            </w:r>
          </w:p>
        </w:tc>
      </w:tr>
      <w:tr w:rsidR="006D3AA0" w:rsidTr="1A373B2C" w14:paraId="6EA0C62E" w14:textId="77777777">
        <w:tblPrEx>
          <w:tblCellMar>
            <w:top w:w="0" w:type="dxa"/>
            <w:bottom w:w="0" w:type="dxa"/>
          </w:tblCellMar>
        </w:tblPrEx>
        <w:trPr/>
        <w:tc>
          <w:tcPr>
            <w:tcW w:w="23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2F2F2" w:themeFill="background1" w:themeFillShade="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32BD82CF" w14:textId="77777777">
            <w:r>
              <w:rPr>
                <w:b/>
                <w:bCs/>
                <w:sz w:val="13"/>
                <w:szCs w:val="13"/>
              </w:rPr>
              <w:t>Headline Inflation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2B501DC3" w14:textId="77777777">
            <w:r>
              <w:rPr>
                <w:sz w:val="13"/>
                <w:szCs w:val="13"/>
              </w:rPr>
              <w:t>22.41%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3B927E28" w14:textId="77777777">
            <w:r>
              <w:rPr>
                <w:sz w:val="13"/>
                <w:szCs w:val="13"/>
              </w:rPr>
              <w:t>15.91% (Jun 2026)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7DFEA6D5" w14:textId="77777777">
            <w:r>
              <w:rPr>
                <w:sz w:val="13"/>
                <w:szCs w:val="13"/>
              </w:rPr>
              <w:t>30–50% after disorderly adj.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2D534592" w14:textId="77777777">
            <w:r>
              <w:rPr>
                <w:sz w:val="13"/>
                <w:szCs w:val="13"/>
              </w:rPr>
              <w:t>🟢 Improving, after early pain</w:t>
            </w:r>
          </w:p>
        </w:tc>
      </w:tr>
      <w:tr w:rsidR="006D3AA0" w:rsidTr="1A373B2C" w14:paraId="4CE9B57B" w14:textId="77777777">
        <w:tblPrEx>
          <w:tblCellMar>
            <w:top w:w="0" w:type="dxa"/>
            <w:bottom w:w="0" w:type="dxa"/>
          </w:tblCellMar>
        </w:tblPrEx>
        <w:trPr/>
        <w:tc>
          <w:tcPr>
            <w:tcW w:w="23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2F2F2" w:themeFill="background1" w:themeFillShade="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28DFD23E" w14:textId="77777777">
            <w:r>
              <w:rPr>
                <w:b/>
                <w:bCs/>
                <w:sz w:val="13"/>
                <w:szCs w:val="13"/>
              </w:rPr>
              <w:t>Food Inflation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2D914DD8" w14:textId="77777777">
            <w:r>
              <w:rPr>
                <w:sz w:val="13"/>
                <w:szCs w:val="13"/>
              </w:rPr>
              <w:t>24.82%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3A642F96" w14:textId="77777777">
            <w:r>
              <w:rPr>
                <w:sz w:val="13"/>
                <w:szCs w:val="13"/>
              </w:rPr>
              <w:t>17.52%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30825859" w14:textId="77777777">
            <w:r>
              <w:rPr>
                <w:sz w:val="13"/>
                <w:szCs w:val="13"/>
              </w:rPr>
              <w:t>35–60%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1384136B" w14:textId="77777777">
            <w:r>
              <w:rPr>
                <w:sz w:val="13"/>
                <w:szCs w:val="13"/>
              </w:rPr>
              <w:t>🟡 Improving</w:t>
            </w:r>
          </w:p>
        </w:tc>
      </w:tr>
      <w:tr w:rsidR="006D3AA0" w:rsidTr="1A373B2C" w14:paraId="2636F151" w14:textId="77777777">
        <w:tblPrEx>
          <w:tblCellMar>
            <w:top w:w="0" w:type="dxa"/>
            <w:bottom w:w="0" w:type="dxa"/>
          </w:tblCellMar>
        </w:tblPrEx>
        <w:trPr/>
        <w:tc>
          <w:tcPr>
            <w:tcW w:w="23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2F2F2" w:themeFill="background1" w:themeFillShade="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3CE3FFB5" w14:textId="77777777">
            <w:r w:rsidRPr="1A373B2C" w:rsidR="00000000">
              <w:rPr>
                <w:b w:val="1"/>
                <w:bCs w:val="1"/>
                <w:sz w:val="13"/>
                <w:szCs w:val="13"/>
                <w:lang w:val="en-US"/>
              </w:rPr>
              <w:t>PMS Price / litre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11D59C4C" w14:textId="77777777">
            <w:r>
              <w:rPr>
                <w:sz w:val="13"/>
                <w:szCs w:val="13"/>
              </w:rPr>
              <w:t>~₦185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4AD9C568" w14:textId="77777777">
            <w:r>
              <w:rPr>
                <w:sz w:val="13"/>
                <w:szCs w:val="13"/>
              </w:rPr>
              <w:t>~₦1,100 to ₦1,400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1F7710A8" w14:textId="77777777">
            <w:r>
              <w:rPr>
                <w:sz w:val="13"/>
                <w:szCs w:val="13"/>
              </w:rPr>
              <w:t>~₦185 unavailable, &gt;₦3,000 black market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35C6C9C2" w14:textId="77777777">
            <w:r>
              <w:rPr>
                <w:sz w:val="13"/>
                <w:szCs w:val="13"/>
              </w:rPr>
              <w:t>🟡 Major cost but worse prevented</w:t>
            </w:r>
          </w:p>
        </w:tc>
      </w:tr>
      <w:tr w:rsidR="006D3AA0" w:rsidTr="1A373B2C" w14:paraId="76576927" w14:textId="77777777">
        <w:tblPrEx>
          <w:tblCellMar>
            <w:top w:w="0" w:type="dxa"/>
            <w:bottom w:w="0" w:type="dxa"/>
          </w:tblCellMar>
        </w:tblPrEx>
        <w:trPr/>
        <w:tc>
          <w:tcPr>
            <w:tcW w:w="23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2F2F2" w:themeFill="background1" w:themeFillShade="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24D48219" w14:textId="77777777">
            <w:r>
              <w:rPr>
                <w:b/>
                <w:bCs/>
                <w:sz w:val="13"/>
                <w:szCs w:val="13"/>
              </w:rPr>
              <w:t>Minimum Wage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078FD27A" w14:textId="77777777">
            <w:r>
              <w:rPr>
                <w:sz w:val="13"/>
                <w:szCs w:val="13"/>
              </w:rPr>
              <w:t>₦30,000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338A3A2F" w14:textId="77777777">
            <w:r>
              <w:rPr>
                <w:sz w:val="13"/>
                <w:szCs w:val="13"/>
              </w:rPr>
              <w:t>₦70,000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58E6E8D3" w14:textId="77777777">
            <w:r>
              <w:rPr>
                <w:sz w:val="13"/>
                <w:szCs w:val="13"/>
              </w:rPr>
              <w:t>₦30,000–50,000 unpaid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2D7ED8FF" w14:textId="77777777">
            <w:r>
              <w:rPr>
                <w:sz w:val="13"/>
                <w:szCs w:val="13"/>
              </w:rPr>
              <w:t>🟡 Nominal gain; real mixed</w:t>
            </w:r>
          </w:p>
        </w:tc>
      </w:tr>
      <w:tr w:rsidR="006D3AA0" w:rsidTr="1A373B2C" w14:paraId="00C2BB9A" w14:textId="77777777">
        <w:tblPrEx>
          <w:tblCellMar>
            <w:top w:w="0" w:type="dxa"/>
            <w:bottom w:w="0" w:type="dxa"/>
          </w:tblCellMar>
        </w:tblPrEx>
        <w:trPr/>
        <w:tc>
          <w:tcPr>
            <w:tcW w:w="23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2F2F2" w:themeFill="background1" w:themeFillShade="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1269F80E" w14:textId="77777777">
            <w:r>
              <w:rPr>
                <w:b/>
                <w:bCs/>
                <w:sz w:val="13"/>
                <w:szCs w:val="13"/>
              </w:rPr>
              <w:t>Poverty / Household Welfare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065DE05F" w14:textId="77777777">
            <w:r>
              <w:rPr>
                <w:sz w:val="13"/>
                <w:szCs w:val="13"/>
              </w:rPr>
              <w:t>High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5A75413A" w14:textId="77777777">
            <w:r>
              <w:rPr>
                <w:sz w:val="13"/>
                <w:szCs w:val="13"/>
              </w:rPr>
              <w:t>High; recovery in progress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5F54280F" w14:textId="77777777">
            <w:r>
              <w:rPr>
                <w:sz w:val="13"/>
                <w:szCs w:val="13"/>
              </w:rPr>
              <w:t>Severe under crisis scenario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3A91A70F" w14:textId="77777777">
            <w:r>
              <w:rPr>
                <w:sz w:val="13"/>
                <w:szCs w:val="13"/>
              </w:rPr>
              <w:t>🟡 WIP, unfinished business</w:t>
            </w:r>
          </w:p>
        </w:tc>
      </w:tr>
    </w:tbl>
    <w:p w:rsidR="006D3AA0" w:rsidP="00210B82" w:rsidRDefault="00000000" w14:paraId="49A3AB8E" w14:textId="77777777">
      <w:pPr>
        <w:spacing w:before="90" w:after="30"/>
        <w:jc w:val="center"/>
      </w:pPr>
      <w:r w:rsidRPr="1A373B2C" w:rsidR="00000000">
        <w:rPr>
          <w:b w:val="1"/>
          <w:bCs w:val="1"/>
          <w:color w:val="1F3864"/>
          <w:sz w:val="16"/>
          <w:szCs w:val="16"/>
          <w:lang w:val="en-US"/>
        </w:rPr>
        <w:t>5. Growth &amp; Productivity</w:t>
      </w:r>
      <w:r w:rsidRPr="1A373B2C" w:rsidR="00000000">
        <w:rPr>
          <w:i w:val="1"/>
          <w:iCs w:val="1"/>
          <w:color w:val="595959" w:themeColor="text1" w:themeTint="A6" w:themeShade="FF"/>
          <w:sz w:val="12"/>
          <w:szCs w:val="12"/>
          <w:lang w:val="en-US"/>
        </w:rPr>
        <w:t xml:space="preserve">  —  scale, pace, and breadth of economic expansion</w:t>
      </w:r>
    </w:p>
    <w:tbl>
      <w:tblPr>
        <w:tblW w:w="8900" w:type="dxa"/>
        <w:jc w:val="lef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1650"/>
        <w:gridCol w:w="1650"/>
        <w:gridCol w:w="1650"/>
        <w:gridCol w:w="1650"/>
      </w:tblGrid>
      <w:tr w:rsidR="006D3AA0" w:rsidTr="1A373B2C" w14:paraId="768379D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3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1F386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26F951A9" w14:textId="77777777">
            <w:r>
              <w:rPr>
                <w:b/>
                <w:bCs/>
                <w:color w:val="FFFFFF"/>
                <w:sz w:val="13"/>
                <w:szCs w:val="13"/>
              </w:rPr>
              <w:t>Indicator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1F386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45BE94FD" w14:textId="77777777">
            <w:r>
              <w:rPr>
                <w:b/>
                <w:bCs/>
                <w:color w:val="FFFFFF"/>
                <w:sz w:val="13"/>
                <w:szCs w:val="13"/>
              </w:rPr>
              <w:t>Baseline (May '23)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1F386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3B668A86" w14:textId="77777777">
            <w:r>
              <w:rPr>
                <w:b/>
                <w:bCs/>
                <w:color w:val="FFFFFF"/>
                <w:sz w:val="13"/>
                <w:szCs w:val="13"/>
              </w:rPr>
              <w:t>Current Position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1F386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67DCFDA2" w14:textId="77777777">
            <w:r>
              <w:rPr>
                <w:b/>
                <w:bCs/>
                <w:color w:val="FFFFFF"/>
                <w:sz w:val="13"/>
                <w:szCs w:val="13"/>
              </w:rPr>
              <w:t>No-Reform '26 Est.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1F386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23FB3095" w14:textId="77777777">
            <w:r>
              <w:rPr>
                <w:b/>
                <w:bCs/>
                <w:color w:val="FFFFFF"/>
                <w:sz w:val="13"/>
                <w:szCs w:val="13"/>
              </w:rPr>
              <w:t>Assessment</w:t>
            </w:r>
          </w:p>
        </w:tc>
      </w:tr>
      <w:tr w:rsidR="006D3AA0" w:rsidTr="1A373B2C" w14:paraId="23CD2B05" w14:textId="77777777">
        <w:tblPrEx>
          <w:tblCellMar>
            <w:top w:w="0" w:type="dxa"/>
            <w:bottom w:w="0" w:type="dxa"/>
          </w:tblCellMar>
        </w:tblPrEx>
        <w:trPr/>
        <w:tc>
          <w:tcPr>
            <w:tcW w:w="23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2F2F2" w:themeFill="background1" w:themeFillShade="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2CE6831A" w14:textId="77777777">
            <w:r>
              <w:rPr>
                <w:b/>
                <w:bCs/>
                <w:sz w:val="13"/>
                <w:szCs w:val="13"/>
              </w:rPr>
              <w:t>Real GDP Growth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22404D4C" w14:textId="77777777">
            <w:r>
              <w:rPr>
                <w:sz w:val="13"/>
                <w:szCs w:val="13"/>
              </w:rPr>
              <w:t>2.31% (Q1-2023)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17E20FB7" w14:textId="77777777">
            <w:r>
              <w:rPr>
                <w:sz w:val="13"/>
                <w:szCs w:val="13"/>
              </w:rPr>
              <w:t>3.89% (Q1-2026)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56818E4F" w14:textId="77777777">
            <w:r w:rsidRPr="1A373B2C" w:rsidR="00000000">
              <w:rPr>
                <w:sz w:val="13"/>
                <w:szCs w:val="13"/>
                <w:lang w:val="en-US"/>
              </w:rPr>
              <w:t>Likely recession, −1–2.5%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433D5AB2" w14:textId="77777777">
            <w:r>
              <w:rPr>
                <w:sz w:val="13"/>
                <w:szCs w:val="13"/>
              </w:rPr>
              <w:t>🟢 Improved</w:t>
            </w:r>
          </w:p>
        </w:tc>
      </w:tr>
      <w:tr w:rsidR="006D3AA0" w:rsidTr="1A373B2C" w14:paraId="0534410B" w14:textId="77777777">
        <w:tblPrEx>
          <w:tblCellMar>
            <w:top w:w="0" w:type="dxa"/>
            <w:bottom w:w="0" w:type="dxa"/>
          </w:tblCellMar>
        </w:tblPrEx>
        <w:trPr/>
        <w:tc>
          <w:tcPr>
            <w:tcW w:w="23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2F2F2" w:themeFill="background1" w:themeFillShade="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10F815D1" w14:textId="77777777">
            <w:r>
              <w:rPr>
                <w:b/>
                <w:bCs/>
                <w:sz w:val="13"/>
                <w:szCs w:val="13"/>
              </w:rPr>
              <w:t>Real GDP Per Capita Growth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1869B2D8" w14:textId="77777777">
            <w:r>
              <w:rPr>
                <w:sz w:val="13"/>
                <w:szCs w:val="13"/>
              </w:rPr>
              <w:t>Negative / contracting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29FEB9A0" w14:textId="77777777">
            <w:r>
              <w:rPr>
                <w:sz w:val="13"/>
                <w:szCs w:val="13"/>
              </w:rPr>
              <w:t>Positive / expanding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2C23E899" w14:textId="77777777">
            <w:r>
              <w:rPr>
                <w:sz w:val="13"/>
                <w:szCs w:val="13"/>
              </w:rPr>
              <w:t>−2% to 0%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789EF545" w14:textId="77777777">
            <w:r>
              <w:rPr>
                <w:sz w:val="13"/>
                <w:szCs w:val="13"/>
              </w:rPr>
              <w:t>🟢 Wrong direction reversed</w:t>
            </w:r>
          </w:p>
        </w:tc>
      </w:tr>
      <w:tr w:rsidR="006D3AA0" w:rsidTr="1A373B2C" w14:paraId="4AC64A02" w14:textId="77777777">
        <w:tblPrEx>
          <w:tblCellMar>
            <w:top w:w="0" w:type="dxa"/>
            <w:bottom w:w="0" w:type="dxa"/>
          </w:tblCellMar>
        </w:tblPrEx>
        <w:trPr/>
        <w:tc>
          <w:tcPr>
            <w:tcW w:w="23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2F2F2" w:themeFill="background1" w:themeFillShade="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40B008E8" w14:textId="77777777">
            <w:r>
              <w:rPr>
                <w:b/>
                <w:bCs/>
                <w:sz w:val="13"/>
                <w:szCs w:val="13"/>
              </w:rPr>
              <w:t>Non-Oil GDP Growth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3C5271D1" w14:textId="77777777">
            <w:r>
              <w:rPr>
                <w:sz w:val="13"/>
                <w:szCs w:val="13"/>
              </w:rPr>
              <w:t>&lt;2.0%, weak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41E527FB" w14:textId="77777777">
            <w:r w:rsidRPr="1A373B2C" w:rsidR="00000000">
              <w:rPr>
                <w:sz w:val="13"/>
                <w:szCs w:val="13"/>
                <w:lang w:val="en-US"/>
              </w:rPr>
              <w:t>~4.0% (2026 proj.)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0F3BA5D9" w14:textId="77777777">
            <w:r>
              <w:rPr>
                <w:sz w:val="13"/>
                <w:szCs w:val="13"/>
              </w:rPr>
              <w:t>1.0% to −2%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7E562B41" w14:textId="77777777">
            <w:r>
              <w:rPr>
                <w:sz w:val="13"/>
                <w:szCs w:val="13"/>
              </w:rPr>
              <w:t>🟢 Improving</w:t>
            </w:r>
          </w:p>
        </w:tc>
      </w:tr>
      <w:tr w:rsidR="006D3AA0" w:rsidTr="1A373B2C" w14:paraId="3BD881E3" w14:textId="77777777">
        <w:tblPrEx>
          <w:tblCellMar>
            <w:top w:w="0" w:type="dxa"/>
            <w:bottom w:w="0" w:type="dxa"/>
          </w:tblCellMar>
        </w:tblPrEx>
        <w:trPr/>
        <w:tc>
          <w:tcPr>
            <w:tcW w:w="23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2F2F2" w:themeFill="background1" w:themeFillShade="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3412100F" w14:textId="77777777">
            <w:r>
              <w:rPr>
                <w:b/>
                <w:bCs/>
                <w:sz w:val="13"/>
                <w:szCs w:val="13"/>
              </w:rPr>
              <w:t>Manufacturing Growth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33FEE76B" w14:textId="77777777">
            <w:r>
              <w:rPr>
                <w:sz w:val="13"/>
                <w:szCs w:val="13"/>
              </w:rPr>
              <w:t>&lt;1.0%, very weak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5500B0C9" w14:textId="77777777">
            <w:r>
              <w:rPr>
                <w:sz w:val="13"/>
                <w:szCs w:val="13"/>
              </w:rPr>
              <w:t>3.29% (Q1-2026)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168B02B6" w14:textId="77777777">
            <w:r>
              <w:rPr>
                <w:sz w:val="13"/>
                <w:szCs w:val="13"/>
              </w:rPr>
              <w:t>0% to −2%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6DF3C4F9" w14:textId="77777777">
            <w:r>
              <w:rPr>
                <w:sz w:val="13"/>
                <w:szCs w:val="13"/>
              </w:rPr>
              <w:t>🟢 Improved</w:t>
            </w:r>
          </w:p>
        </w:tc>
      </w:tr>
      <w:tr w:rsidR="006D3AA0" w:rsidTr="1A373B2C" w14:paraId="3D8E8709" w14:textId="77777777">
        <w:tblPrEx>
          <w:tblCellMar>
            <w:top w:w="0" w:type="dxa"/>
            <w:bottom w:w="0" w:type="dxa"/>
          </w:tblCellMar>
        </w:tblPrEx>
        <w:trPr/>
        <w:tc>
          <w:tcPr>
            <w:tcW w:w="23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2F2F2" w:themeFill="background1" w:themeFillShade="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7BFBBDD9" w14:textId="77777777">
            <w:r>
              <w:rPr>
                <w:b/>
                <w:bCs/>
                <w:sz w:val="13"/>
                <w:szCs w:val="13"/>
              </w:rPr>
              <w:t>Oil Production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03AF2C9D" w14:textId="77777777">
            <w:r>
              <w:rPr>
                <w:sz w:val="13"/>
                <w:szCs w:val="13"/>
              </w:rPr>
              <w:t>~1.2–1.4 mbpd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724F4365" w14:textId="77777777">
            <w:r>
              <w:rPr>
                <w:sz w:val="13"/>
                <w:szCs w:val="13"/>
              </w:rPr>
              <w:t>~1.6–1.75 mbpd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65D97B04" w14:textId="77777777">
            <w:r>
              <w:rPr>
                <w:sz w:val="13"/>
                <w:szCs w:val="13"/>
              </w:rPr>
              <w:t>&lt;1.2 mbpd</w:t>
            </w:r>
          </w:p>
        </w:tc>
        <w:tc>
          <w:tcPr>
            <w:tcW w:w="165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D3AA0" w:rsidRDefault="00000000" w14:paraId="635135EC" w14:textId="77777777">
            <w:r>
              <w:rPr>
                <w:sz w:val="13"/>
                <w:szCs w:val="13"/>
              </w:rPr>
              <w:t>🟢 Improved</w:t>
            </w:r>
          </w:p>
        </w:tc>
      </w:tr>
    </w:tbl>
    <w:p w:rsidR="006D3AA0" w:rsidRDefault="006D3AA0" w14:paraId="1FDF381E" w14:textId="77777777">
      <w:pPr>
        <w:sectPr w:rsidR="006D3AA0" w:rsidSect="00210B82">
          <w:pgSz w:w="12240" w:h="15840" w:orient="landscape"/>
          <w:pgMar w:top="500" w:right="400" w:bottom="500" w:left="400" w:header="708" w:footer="708" w:gutter="0"/>
          <w:cols w:space="720"/>
          <w:docGrid w:linePitch="360"/>
        </w:sectPr>
      </w:pPr>
    </w:p>
    <w:p w:rsidR="006D3AA0" w:rsidRDefault="00000000" w14:paraId="51789430" w14:textId="77777777">
      <w:pPr>
        <w:spacing w:after="150"/>
        <w:jc w:val="center"/>
      </w:pPr>
      <w:r>
        <w:rPr>
          <w:b/>
          <w:bCs/>
          <w:color w:val="1F3864"/>
          <w:sz w:val="26"/>
          <w:szCs w:val="26"/>
        </w:rPr>
        <w:t>Appendix 2 — Reform Impact and Call to Action</w:t>
      </w:r>
    </w:p>
    <w:p w:rsidR="006D3AA0" w:rsidRDefault="00000000" w14:paraId="19D9E59C" w14:textId="77777777">
      <w:pPr>
        <w:pStyle w:val="Heading1"/>
        <w:spacing w:before="180" w:after="90"/>
      </w:pPr>
      <w:r>
        <w:rPr>
          <w:color w:val="1F3864"/>
        </w:rPr>
        <w:t>How the Reform Benefits Ordinary Nigerians</w:t>
      </w:r>
    </w:p>
    <w:p w:rsidR="006D3AA0" w:rsidRDefault="00000000" w14:paraId="574A41ED" w14:textId="77777777">
      <w:pPr>
        <w:spacing w:after="70"/>
      </w:pPr>
      <w:r w:rsidRPr="1A373B2C" w:rsidR="00000000">
        <w:rPr>
          <w:sz w:val="19"/>
          <w:szCs w:val="19"/>
          <w:lang w:val="en-US"/>
        </w:rPr>
        <w:t>1. Wage increases and timely payment of salaries and pensions</w:t>
      </w:r>
    </w:p>
    <w:p w:rsidR="006D3AA0" w:rsidRDefault="00000000" w14:paraId="56CFFA09" w14:textId="77777777">
      <w:pPr>
        <w:spacing w:after="70"/>
      </w:pPr>
      <w:r>
        <w:rPr>
          <w:sz w:val="19"/>
          <w:szCs w:val="19"/>
        </w:rPr>
        <w:t>2. Settlement of pension arrears and gratuities owed to retirees</w:t>
      </w:r>
    </w:p>
    <w:p w:rsidR="006D3AA0" w:rsidRDefault="00000000" w14:paraId="03B81C6A" w14:textId="77777777">
      <w:pPr>
        <w:spacing w:after="70"/>
      </w:pPr>
      <w:r>
        <w:rPr>
          <w:sz w:val="19"/>
          <w:szCs w:val="19"/>
        </w:rPr>
        <w:t>3. Wealth creation for millions of Nigerians through capital market gains</w:t>
      </w:r>
    </w:p>
    <w:p w:rsidR="006D3AA0" w:rsidRDefault="00000000" w14:paraId="4926CCA0" w14:textId="77777777">
      <w:pPr>
        <w:spacing w:after="70"/>
      </w:pPr>
      <w:r>
        <w:rPr>
          <w:sz w:val="19"/>
          <w:szCs w:val="19"/>
        </w:rPr>
        <w:t>4. Transformative infrastructure development nationwide</w:t>
      </w:r>
    </w:p>
    <w:p w:rsidR="006D3AA0" w:rsidRDefault="00000000" w14:paraId="7084DFDA" w14:textId="77777777">
      <w:pPr>
        <w:spacing w:after="70"/>
      </w:pPr>
      <w:r>
        <w:rPr>
          <w:sz w:val="19"/>
          <w:szCs w:val="19"/>
        </w:rPr>
        <w:t>5. Top globally friendly student loan scheme (NELFUND) and affordable consumer/SME credit</w:t>
      </w:r>
    </w:p>
    <w:p w:rsidR="006D3AA0" w:rsidRDefault="00000000" w14:paraId="348CA435" w14:textId="77777777">
      <w:pPr>
        <w:spacing w:after="70"/>
      </w:pPr>
      <w:r w:rsidRPr="1A373B2C" w:rsidR="00000000">
        <w:rPr>
          <w:sz w:val="19"/>
          <w:szCs w:val="19"/>
          <w:lang w:val="en-US"/>
        </w:rPr>
        <w:t>6. Subsidised mortgage and housing schemes, plus social transfers to the most vulnerable</w:t>
      </w:r>
    </w:p>
    <w:p w:rsidR="006D3AA0" w:rsidRDefault="00000000" w14:paraId="12846265" w14:textId="77777777">
      <w:pPr>
        <w:spacing w:after="70"/>
      </w:pPr>
      <w:r>
        <w:rPr>
          <w:sz w:val="19"/>
          <w:szCs w:val="19"/>
        </w:rPr>
        <w:t>7. Agricultural interventions strengthening food security</w:t>
      </w:r>
    </w:p>
    <w:p w:rsidR="006D3AA0" w:rsidRDefault="00000000" w14:paraId="7BBF67B2" w14:textId="77777777">
      <w:pPr>
        <w:spacing w:after="70"/>
      </w:pPr>
      <w:r>
        <w:rPr>
          <w:sz w:val="19"/>
          <w:szCs w:val="19"/>
        </w:rPr>
        <w:t>8. Fuel availability and energy security despite global shocks</w:t>
      </w:r>
    </w:p>
    <w:p w:rsidR="006D3AA0" w:rsidRDefault="00000000" w14:paraId="78FA21E7" w14:textId="77777777">
      <w:pPr>
        <w:spacing w:after="70"/>
      </w:pPr>
      <w:r>
        <w:rPr>
          <w:sz w:val="19"/>
          <w:szCs w:val="19"/>
        </w:rPr>
        <w:t>9. Return of investor confidence, driving local and international investment</w:t>
      </w:r>
    </w:p>
    <w:p w:rsidR="006D3AA0" w:rsidRDefault="00000000" w14:paraId="2EF3A011" w14:textId="77777777">
      <w:pPr>
        <w:spacing w:after="70"/>
      </w:pPr>
      <w:r>
        <w:rPr>
          <w:sz w:val="19"/>
          <w:szCs w:val="19"/>
        </w:rPr>
        <w:t>10. Tax exemption for low-income earners and small businesses, and a friendlier tax environment for all</w:t>
      </w:r>
    </w:p>
    <w:p w:rsidR="006D3AA0" w:rsidRDefault="00000000" w14:paraId="53507D79" w14:textId="77777777">
      <w:pPr>
        <w:pStyle w:val="Heading1"/>
        <w:spacing w:before="180" w:after="90"/>
      </w:pPr>
      <w:r>
        <w:rPr>
          <w:color w:val="1F3864"/>
        </w:rPr>
        <w:t>Harm the Reforms Prevented</w:t>
      </w:r>
    </w:p>
    <w:p w:rsidR="006D3AA0" w:rsidRDefault="00000000" w14:paraId="51EA67DE" w14:textId="77777777">
      <w:pPr>
        <w:spacing w:after="70"/>
      </w:pPr>
      <w:r>
        <w:rPr>
          <w:sz w:val="19"/>
          <w:szCs w:val="19"/>
        </w:rPr>
        <w:t>1. Hyperinflation from unchecked printing of the Naira</w:t>
      </w:r>
    </w:p>
    <w:p w:rsidR="006D3AA0" w:rsidRDefault="00000000" w14:paraId="289F927B" w14:textId="77777777">
      <w:pPr>
        <w:spacing w:after="70"/>
      </w:pPr>
      <w:r>
        <w:rPr>
          <w:sz w:val="19"/>
          <w:szCs w:val="19"/>
        </w:rPr>
        <w:t>2. Total collapse of the Naira's value</w:t>
      </w:r>
    </w:p>
    <w:p w:rsidR="006D3AA0" w:rsidRDefault="00000000" w14:paraId="0CC34291" w14:textId="77777777">
      <w:pPr>
        <w:spacing w:after="70"/>
      </w:pPr>
      <w:r>
        <w:rPr>
          <w:sz w:val="19"/>
          <w:szCs w:val="19"/>
        </w:rPr>
        <w:t>3. Fuel scarcity and disruption of economic activities</w:t>
      </w:r>
    </w:p>
    <w:p w:rsidR="006D3AA0" w:rsidRDefault="00000000" w14:paraId="39DD6BE6" w14:textId="77777777">
      <w:pPr>
        <w:spacing w:after="70"/>
      </w:pPr>
      <w:r>
        <w:rPr>
          <w:sz w:val="19"/>
          <w:szCs w:val="19"/>
        </w:rPr>
        <w:t>4. Greater poverty across the country</w:t>
      </w:r>
    </w:p>
    <w:p w:rsidR="006D3AA0" w:rsidRDefault="00000000" w14:paraId="7E812B5F" w14:textId="77777777">
      <w:pPr>
        <w:spacing w:after="70"/>
      </w:pPr>
      <w:r w:rsidRPr="1A373B2C" w:rsidR="00000000">
        <w:rPr>
          <w:sz w:val="19"/>
          <w:szCs w:val="19"/>
          <w:lang w:val="en-US"/>
        </w:rPr>
        <w:t>5. Worsening insecurity fuelled by economic crisis</w:t>
      </w:r>
    </w:p>
    <w:p w:rsidR="006D3AA0" w:rsidRDefault="00000000" w14:paraId="3C69CD07" w14:textId="77777777">
      <w:pPr>
        <w:spacing w:after="70"/>
      </w:pPr>
      <w:r>
        <w:rPr>
          <w:sz w:val="19"/>
          <w:szCs w:val="19"/>
        </w:rPr>
        <w:t>6. Mass business collapse and deeper job losses</w:t>
      </w:r>
    </w:p>
    <w:p w:rsidR="006D3AA0" w:rsidRDefault="00000000" w14:paraId="41EB6693" w14:textId="77777777">
      <w:pPr>
        <w:spacing w:after="70"/>
      </w:pPr>
      <w:r>
        <w:rPr>
          <w:sz w:val="19"/>
          <w:szCs w:val="19"/>
        </w:rPr>
        <w:t>7. Corruption in FX allocation and fuel subsidy scheme</w:t>
      </w:r>
    </w:p>
    <w:p w:rsidR="006D3AA0" w:rsidRDefault="00000000" w14:paraId="7ECAF7DB" w14:textId="77777777">
      <w:pPr>
        <w:spacing w:after="70"/>
      </w:pPr>
      <w:r>
        <w:rPr>
          <w:sz w:val="19"/>
          <w:szCs w:val="19"/>
        </w:rPr>
        <w:t>8. Bankruptcy of many states and local governments</w:t>
      </w:r>
    </w:p>
    <w:p w:rsidR="006D3AA0" w:rsidRDefault="00000000" w14:paraId="4B938053" w14:textId="77777777">
      <w:pPr>
        <w:spacing w:after="70"/>
      </w:pPr>
      <w:r>
        <w:rPr>
          <w:sz w:val="19"/>
          <w:szCs w:val="19"/>
        </w:rPr>
        <w:t>9. Much higher interest rates</w:t>
      </w:r>
    </w:p>
    <w:p w:rsidR="006D3AA0" w:rsidRDefault="00000000" w14:paraId="74AEBC0D" w14:textId="77777777">
      <w:pPr>
        <w:spacing w:after="70"/>
      </w:pPr>
      <w:r>
        <w:rPr>
          <w:sz w:val="19"/>
          <w:szCs w:val="19"/>
        </w:rPr>
        <w:t>10. Multiplicity of taxes deepening the taxation of poverty</w:t>
      </w:r>
    </w:p>
    <w:p w:rsidR="006D3AA0" w:rsidRDefault="00000000" w14:paraId="6E713EFF" w14:textId="77777777">
      <w:pPr>
        <w:pStyle w:val="Heading1"/>
        <w:spacing w:before="180" w:after="90"/>
      </w:pPr>
      <w:r>
        <w:rPr>
          <w:color w:val="1F3864"/>
        </w:rPr>
        <w:t>Call to Action</w:t>
      </w:r>
    </w:p>
    <w:p w:rsidR="006D3AA0" w:rsidRDefault="00000000" w14:paraId="098ABBA5" w14:textId="77777777">
      <w:pPr>
        <w:spacing w:after="70"/>
      </w:pPr>
      <w:r>
        <w:rPr>
          <w:sz w:val="19"/>
          <w:szCs w:val="19"/>
        </w:rPr>
        <w:t>1. Be a Citizen — Support positive government policies. We cannot build our country by opposing every government action.</w:t>
      </w:r>
    </w:p>
    <w:p w:rsidR="006D3AA0" w:rsidRDefault="00000000" w14:paraId="2A4D57EC" w14:textId="77777777">
      <w:pPr>
        <w:spacing w:after="70"/>
      </w:pPr>
      <w:r w:rsidRPr="1A373B2C" w:rsidR="00000000">
        <w:rPr>
          <w:sz w:val="19"/>
          <w:szCs w:val="19"/>
          <w:lang w:val="en-US"/>
        </w:rPr>
        <w:t>2. Criticise Constructively — Don't run your country down. Whatever we amplify shapes perception and ultimately our economic reality.</w:t>
      </w:r>
    </w:p>
    <w:p w:rsidR="006D3AA0" w:rsidRDefault="00000000" w14:paraId="7432CE4D" w14:textId="77777777">
      <w:pPr>
        <w:spacing w:after="70"/>
      </w:pPr>
      <w:r w:rsidRPr="1A373B2C" w:rsidR="00000000">
        <w:rPr>
          <w:sz w:val="19"/>
          <w:szCs w:val="19"/>
          <w:lang w:val="en-US"/>
        </w:rPr>
        <w:t>3. Play Your Part — Seek facts and proper understanding, not populist views or sensational headlines.</w:t>
      </w:r>
    </w:p>
    <w:p w:rsidR="006D3AA0" w:rsidRDefault="00000000" w14:paraId="5C214A72" w14:textId="2D30BA7D">
      <w:pPr>
        <w:spacing w:before="200"/>
      </w:pPr>
      <w:r w:rsidRPr="1A373B2C" w:rsidR="00000000">
        <w:rPr>
          <w:i w:val="1"/>
          <w:iCs w:val="1"/>
          <w:color w:val="595959" w:themeColor="text1" w:themeTint="A6" w:themeShade="FF"/>
          <w:sz w:val="17"/>
          <w:szCs w:val="17"/>
        </w:rPr>
        <w:t>For more information: visit finance.</w:t>
      </w:r>
      <w:r w:rsidRPr="1A373B2C" w:rsidR="53D1B4CD">
        <w:rPr>
          <w:i w:val="1"/>
          <w:iCs w:val="1"/>
          <w:color w:val="595959" w:themeColor="text1" w:themeTint="A6" w:themeShade="FF"/>
          <w:sz w:val="17"/>
          <w:szCs w:val="17"/>
        </w:rPr>
        <w:t>gov</w:t>
      </w:r>
      <w:r w:rsidRPr="1A373B2C" w:rsidR="00000000">
        <w:rPr>
          <w:i w:val="1"/>
          <w:iCs w:val="1"/>
          <w:color w:val="595959" w:themeColor="text1" w:themeTint="A6" w:themeShade="FF"/>
          <w:sz w:val="17"/>
          <w:szCs w:val="17"/>
        </w:rPr>
        <w:t>.ng</w:t>
      </w:r>
    </w:p>
    <w:sectPr w:rsidR="006D3AA0">
      <w:pgSz w:w="12240" w:h="15840" w:orient="portrait"/>
      <w:pgMar w:top="720" w:right="1080" w:bottom="72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C5A18E8"/>
    <w:multiLevelType w:val="hybridMultilevel"/>
    <w:tmpl w:val="37FC50B8"/>
    <w:lvl w:ilvl="0" w:tplc="402C593E">
      <w:numFmt w:val="bullet"/>
      <w:lvlText w:val=""/>
      <w:lvlJc w:val="left"/>
      <w:pPr>
        <w:ind w:left="720" w:hanging="360"/>
      </w:pPr>
      <w:rPr>
        <w:rFonts w:hint="default" w:ascii="Wingdings" w:hAnsi="Wingdings" w:eastAsia="Times New Roman" w:cs="Times New Roman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74FE05B0"/>
    <w:multiLevelType w:val="hybridMultilevel"/>
    <w:tmpl w:val="D78E0C3A"/>
    <w:lvl w:ilvl="0" w:tplc="5F14211C">
      <w:start w:val="1"/>
      <w:numFmt w:val="bullet"/>
      <w:lvlText w:val="●"/>
      <w:lvlJc w:val="left"/>
      <w:pPr>
        <w:ind w:left="720" w:hanging="360"/>
      </w:pPr>
    </w:lvl>
    <w:lvl w:ilvl="1" w:tplc="788E4664">
      <w:start w:val="1"/>
      <w:numFmt w:val="bullet"/>
      <w:lvlText w:val="○"/>
      <w:lvlJc w:val="left"/>
      <w:pPr>
        <w:ind w:left="1440" w:hanging="360"/>
      </w:pPr>
    </w:lvl>
    <w:lvl w:ilvl="2" w:tplc="DACAFF94">
      <w:start w:val="1"/>
      <w:numFmt w:val="bullet"/>
      <w:lvlText w:val="■"/>
      <w:lvlJc w:val="left"/>
      <w:pPr>
        <w:ind w:left="2160" w:hanging="360"/>
      </w:pPr>
    </w:lvl>
    <w:lvl w:ilvl="3" w:tplc="6CFA306C">
      <w:start w:val="1"/>
      <w:numFmt w:val="bullet"/>
      <w:lvlText w:val="●"/>
      <w:lvlJc w:val="left"/>
      <w:pPr>
        <w:ind w:left="2880" w:hanging="360"/>
      </w:pPr>
    </w:lvl>
    <w:lvl w:ilvl="4" w:tplc="0E8EE1AA">
      <w:start w:val="1"/>
      <w:numFmt w:val="bullet"/>
      <w:lvlText w:val="○"/>
      <w:lvlJc w:val="left"/>
      <w:pPr>
        <w:ind w:left="3600" w:hanging="360"/>
      </w:pPr>
    </w:lvl>
    <w:lvl w:ilvl="5" w:tplc="D020DC2C">
      <w:start w:val="1"/>
      <w:numFmt w:val="bullet"/>
      <w:lvlText w:val="■"/>
      <w:lvlJc w:val="left"/>
      <w:pPr>
        <w:ind w:left="4320" w:hanging="360"/>
      </w:pPr>
    </w:lvl>
    <w:lvl w:ilvl="6" w:tplc="4572A6D0">
      <w:start w:val="1"/>
      <w:numFmt w:val="bullet"/>
      <w:lvlText w:val="●"/>
      <w:lvlJc w:val="left"/>
      <w:pPr>
        <w:ind w:left="5040" w:hanging="360"/>
      </w:pPr>
    </w:lvl>
    <w:lvl w:ilvl="7" w:tplc="EA1E1D38">
      <w:start w:val="1"/>
      <w:numFmt w:val="bullet"/>
      <w:lvlText w:val="●"/>
      <w:lvlJc w:val="left"/>
      <w:pPr>
        <w:ind w:left="5760" w:hanging="360"/>
      </w:pPr>
    </w:lvl>
    <w:lvl w:ilvl="8" w:tplc="39CCD850">
      <w:start w:val="1"/>
      <w:numFmt w:val="bullet"/>
      <w:lvlText w:val="●"/>
      <w:lvlJc w:val="left"/>
      <w:pPr>
        <w:ind w:left="6480" w:hanging="360"/>
      </w:pPr>
    </w:lvl>
  </w:abstractNum>
  <w:num w:numId="1" w16cid:durableId="179860079">
    <w:abstractNumId w:val="1"/>
    <w:lvlOverride w:ilvl="0">
      <w:startOverride w:val="1"/>
    </w:lvlOverride>
  </w:num>
  <w:num w:numId="2" w16cid:durableId="117861626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zoom w:percent="200"/>
  <w:displayBackgroundShape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AA0"/>
    <w:rsid w:val="00000000"/>
    <w:rsid w:val="00210B82"/>
    <w:rsid w:val="00221F0C"/>
    <w:rsid w:val="003C7BEF"/>
    <w:rsid w:val="004C6F06"/>
    <w:rsid w:val="004F1D2F"/>
    <w:rsid w:val="006A4B9B"/>
    <w:rsid w:val="006D3AA0"/>
    <w:rsid w:val="009251BB"/>
    <w:rsid w:val="00C909C9"/>
    <w:rsid w:val="01969009"/>
    <w:rsid w:val="1338C5C3"/>
    <w:rsid w:val="1A373B2C"/>
    <w:rsid w:val="3894D4CF"/>
    <w:rsid w:val="4723E71B"/>
    <w:rsid w:val="53D1B4CD"/>
    <w:rsid w:val="713D6158"/>
    <w:rsid w:val="7A429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D6F2DE"/>
  <w15:docId w15:val="{E12105F4-709E-D643-A018-014CEC07687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NG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Strong1" w:customStyle="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styleId="FootnoteTextChar" w:customStyle="1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styleId="EndnoteTextChar" w:customStyle="1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4.png" Id="rId8" /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image" Target="media/image3.png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image" Target="media/image2.png" Id="rId6" /><Relationship Type="http://schemas.openxmlformats.org/officeDocument/2006/relationships/customXml" Target="../customXml/item1.xml" Id="rId11" /><Relationship Type="http://schemas.openxmlformats.org/officeDocument/2006/relationships/image" Target="media/image1.png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A7EFC0B984154BA2E4307D72184DEE" ma:contentTypeVersion="3" ma:contentTypeDescription="Create a new document." ma:contentTypeScope="" ma:versionID="bee97505b55fa5f908c621784af4af1a">
  <xsd:schema xmlns:xsd="http://www.w3.org/2001/XMLSchema" xmlns:xs="http://www.w3.org/2001/XMLSchema" xmlns:p="http://schemas.microsoft.com/office/2006/metadata/properties" xmlns:ns2="9835d6db-805c-49da-813c-0099d2d59ca5" targetNamespace="http://schemas.microsoft.com/office/2006/metadata/properties" ma:root="true" ma:fieldsID="8f34c3f575d258fa302cfe50aadcae7e" ns2:_="">
    <xsd:import namespace="9835d6db-805c-49da-813c-0099d2d59c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35d6db-805c-49da-813c-0099d2d59c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4F0687C-8D41-48B0-B062-12E59614D7F8}"/>
</file>

<file path=customXml/itemProps2.xml><?xml version="1.0" encoding="utf-8"?>
<ds:datastoreItem xmlns:ds="http://schemas.openxmlformats.org/officeDocument/2006/customXml" ds:itemID="{30EF44BF-0B0C-4373-BC95-865DDE2E293B}"/>
</file>

<file path=customXml/itemProps3.xml><?xml version="1.0" encoding="utf-8"?>
<ds:datastoreItem xmlns:ds="http://schemas.openxmlformats.org/officeDocument/2006/customXml" ds:itemID="{047CC8F5-C1A5-4D49-84E9-EE2D11C060E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Farida Kabir</lastModifiedBy>
  <revision>5</revision>
  <lastPrinted>2026-08-16T20:47:00.0000000Z</lastPrinted>
  <dcterms:created xsi:type="dcterms:W3CDTF">2026-08-16T20:05:00.0000000Z</dcterms:created>
  <dcterms:modified xsi:type="dcterms:W3CDTF">2026-08-17T16:48:26.5812247Z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0x010100BEA7EFC0B984154BA2E4307D72184DEE</vt:lpwstr>
  </property>
</Properties>
</file>